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/>
          <w:spacing w:val="10"/>
          <w:szCs w:val="32"/>
          <w:lang w:val="en-US" w:eastAsia="zh-CN"/>
        </w:rPr>
      </w:pPr>
      <w:r>
        <w:rPr>
          <w:rFonts w:hint="eastAsia"/>
          <w:spacing w:val="10"/>
          <w:szCs w:val="32"/>
          <w:lang w:val="en-US" w:eastAsia="zh-CN"/>
        </w:rPr>
        <w:t>附件2</w:t>
      </w:r>
    </w:p>
    <w:p>
      <w:pPr>
        <w:spacing w:line="360" w:lineRule="auto"/>
        <w:jc w:val="both"/>
        <w:rPr>
          <w:rFonts w:hint="eastAsia"/>
          <w:spacing w:val="10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b/>
          <w:bCs/>
          <w:sz w:val="30"/>
          <w:szCs w:val="30"/>
        </w:rPr>
      </w:pPr>
      <w:r>
        <w:rPr>
          <w:rFonts w:hint="eastAsia" w:ascii="方正小标宋简体" w:eastAsia="方正小标宋简体"/>
          <w:b/>
          <w:bCs/>
          <w:sz w:val="30"/>
          <w:szCs w:val="30"/>
        </w:rPr>
        <w:t>南京航空航天大学“课程思政”教学方案设计表</w:t>
      </w:r>
    </w:p>
    <w:p>
      <w:pPr>
        <w:spacing w:line="360" w:lineRule="auto"/>
        <w:jc w:val="center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学院：____________姓名：__________联系方式：______________</w:t>
      </w:r>
    </w:p>
    <w:tbl>
      <w:tblPr>
        <w:tblStyle w:val="2"/>
        <w:tblW w:w="847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31"/>
        <w:gridCol w:w="1276"/>
        <w:gridCol w:w="1417"/>
        <w:gridCol w:w="1276"/>
        <w:gridCol w:w="198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13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所属学科</w:t>
            </w: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所属专业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适用对象（本/研）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授课班级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课时数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授课教材</w:t>
            </w:r>
          </w:p>
        </w:tc>
        <w:tc>
          <w:tcPr>
            <w:tcW w:w="7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课程类别</w:t>
            </w:r>
          </w:p>
        </w:tc>
        <w:tc>
          <w:tcPr>
            <w:tcW w:w="7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6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A专业课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B</w:t>
            </w:r>
            <w:r>
              <w:rPr>
                <w:rFonts w:hint="eastAsia" w:ascii="仿宋_GB2312" w:eastAsia="仿宋_GB2312"/>
                <w:sz w:val="24"/>
              </w:rPr>
              <w:t xml:space="preserve"> 公共基础课    </w:t>
            </w:r>
            <w:r>
              <w:rPr>
                <w:rFonts w:ascii="仿宋_GB2312" w:eastAsia="仿宋_GB2312"/>
                <w:sz w:val="24"/>
              </w:rPr>
              <w:t>C</w:t>
            </w:r>
            <w:r>
              <w:rPr>
                <w:rFonts w:hint="eastAsia" w:ascii="仿宋_GB2312" w:eastAsia="仿宋_GB2312"/>
                <w:sz w:val="24"/>
              </w:rPr>
              <w:t>通识教育选修课/文化</w:t>
            </w:r>
            <w:r>
              <w:rPr>
                <w:rFonts w:ascii="仿宋_GB2312" w:eastAsia="仿宋_GB2312"/>
                <w:sz w:val="24"/>
              </w:rPr>
              <w:t>素质课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教学内容</w:t>
            </w:r>
          </w:p>
        </w:tc>
        <w:tc>
          <w:tcPr>
            <w:tcW w:w="7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一、教学目标</w:t>
      </w:r>
    </w:p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</w:t>
      </w:r>
      <w:r>
        <w:rPr>
          <w:rFonts w:hint="eastAsia" w:ascii="仿宋_GB2312" w:eastAsia="仿宋_GB2312"/>
          <w:sz w:val="24"/>
        </w:rPr>
        <w:t>;</w:t>
      </w:r>
    </w:p>
    <w:p>
      <w:pPr>
        <w:spacing w:line="360" w:lineRule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</w:t>
      </w:r>
      <w:r>
        <w:rPr>
          <w:rFonts w:hint="eastAsia" w:ascii="仿宋_GB2312" w:eastAsia="仿宋_GB2312"/>
          <w:sz w:val="24"/>
        </w:rPr>
        <w:t>;</w:t>
      </w:r>
    </w:p>
    <w:p>
      <w:pPr>
        <w:spacing w:line="360" w:lineRule="auto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3.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360" w:lineRule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说明：根据课程专业教育要求，简要说明该教学节段的思政教学目标，有机融入</w:t>
      </w:r>
      <w:r>
        <w:rPr>
          <w:rFonts w:hint="eastAsia" w:ascii="仿宋_GB2312" w:eastAsia="仿宋_GB2312"/>
          <w:szCs w:val="21"/>
          <w:lang w:eastAsia="zh-CN"/>
        </w:rPr>
        <w:t>思政</w:t>
      </w:r>
      <w:r>
        <w:rPr>
          <w:rFonts w:hint="eastAsia" w:ascii="仿宋_GB2312" w:eastAsia="仿宋_GB2312"/>
          <w:szCs w:val="21"/>
        </w:rPr>
        <w:t>教育元素。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学情分析</w:t>
      </w:r>
    </w:p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</w:t>
      </w:r>
      <w:r>
        <w:rPr>
          <w:rFonts w:hint="eastAsia" w:ascii="仿宋_GB2312" w:eastAsia="仿宋_GB2312"/>
          <w:sz w:val="24"/>
        </w:rPr>
        <w:t>;</w:t>
      </w:r>
    </w:p>
    <w:p>
      <w:pPr>
        <w:spacing w:line="360" w:lineRule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</w:t>
      </w:r>
      <w:r>
        <w:rPr>
          <w:rFonts w:hint="eastAsia" w:ascii="仿宋_GB2312" w:eastAsia="仿宋_GB2312"/>
          <w:sz w:val="24"/>
        </w:rPr>
        <w:t>;</w:t>
      </w:r>
    </w:p>
    <w:p>
      <w:pPr>
        <w:spacing w:line="360" w:lineRule="auto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3.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360" w:lineRule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说明：简要说明授课学生特点。</w:t>
      </w:r>
    </w:p>
    <w:p>
      <w:pPr>
        <w:spacing w:line="360" w:lineRule="auto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三、“课程思政”教育内容</w:t>
      </w:r>
    </w:p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</w:t>
      </w:r>
      <w:r>
        <w:rPr>
          <w:rFonts w:hint="eastAsia" w:ascii="仿宋_GB2312" w:eastAsia="仿宋_GB2312"/>
          <w:sz w:val="24"/>
        </w:rPr>
        <w:t>;</w:t>
      </w:r>
    </w:p>
    <w:p>
      <w:pPr>
        <w:spacing w:line="360" w:lineRule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</w:t>
      </w:r>
      <w:r>
        <w:rPr>
          <w:rFonts w:hint="eastAsia" w:ascii="仿宋_GB2312" w:eastAsia="仿宋_GB2312"/>
          <w:sz w:val="24"/>
        </w:rPr>
        <w:t>;</w:t>
      </w:r>
    </w:p>
    <w:p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360" w:lineRule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说明：描述课程教学中能将</w:t>
      </w:r>
      <w:r>
        <w:rPr>
          <w:rFonts w:hint="eastAsia" w:ascii="仿宋_GB2312" w:eastAsia="仿宋_GB2312"/>
          <w:szCs w:val="21"/>
          <w:lang w:eastAsia="zh-CN"/>
        </w:rPr>
        <w:t>思政</w:t>
      </w:r>
      <w:r>
        <w:rPr>
          <w:rFonts w:hint="eastAsia" w:ascii="仿宋_GB2312" w:eastAsia="仿宋_GB2312"/>
          <w:szCs w:val="21"/>
        </w:rPr>
        <w:t>教育内容与专业知识技能教育内容有机融合的内容。</w:t>
      </w:r>
    </w:p>
    <w:p>
      <w:pPr>
        <w:spacing w:line="360" w:lineRule="auto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四、教学方法与载体途径</w:t>
      </w:r>
    </w:p>
    <w:p>
      <w:pPr>
        <w:spacing w:line="360" w:lineRule="auto"/>
        <w:ind w:left="360" w:hanging="360" w:hangingChars="150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</w:p>
    <w:p>
      <w:pPr>
        <w:spacing w:line="360" w:lineRule="auto"/>
        <w:ind w:left="359" w:leftChars="114" w:hanging="120" w:hanging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  <w:r>
        <w:rPr>
          <w:rFonts w:hint="eastAsia" w:ascii="仿宋_GB2312" w:eastAsia="仿宋_GB2312"/>
          <w:sz w:val="24"/>
        </w:rPr>
        <w:t>;</w:t>
      </w:r>
    </w:p>
    <w:p>
      <w:pPr>
        <w:spacing w:line="360" w:lineRule="auto"/>
        <w:ind w:left="240" w:hanging="240" w:hangingChars="100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</w:p>
    <w:p>
      <w:pPr>
        <w:spacing w:line="360" w:lineRule="auto"/>
        <w:ind w:left="239" w:leftChars="114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  <w:r>
        <w:rPr>
          <w:rFonts w:hint="eastAsia" w:ascii="仿宋_GB2312" w:eastAsia="仿宋_GB2312"/>
          <w:sz w:val="24"/>
        </w:rPr>
        <w:t>;</w:t>
      </w:r>
    </w:p>
    <w:p>
      <w:pPr>
        <w:spacing w:line="360" w:lineRule="auto"/>
        <w:ind w:left="1920" w:hanging="1920" w:hangingChars="800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3.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</w:p>
    <w:p>
      <w:pPr>
        <w:spacing w:line="360" w:lineRule="auto"/>
        <w:ind w:left="239" w:leftChars="114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360" w:lineRule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说明：描述本教学节段中为达到“课程思政”教学目标和教育内容要求所采取的教学方法、举措和载体途径，包括信息化载体、参观体验、课堂讨论、考核方式等。</w:t>
      </w:r>
    </w:p>
    <w:p>
      <w:pPr>
        <w:spacing w:line="360" w:lineRule="auto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五、教学过程</w:t>
      </w:r>
    </w:p>
    <w:p>
      <w:pPr>
        <w:spacing w:line="360" w:lineRule="auto"/>
        <w:ind w:left="360" w:hanging="360" w:hangingChars="150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  </w:t>
      </w:r>
    </w:p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  </w:t>
      </w:r>
      <w:r>
        <w:rPr>
          <w:rFonts w:hint="eastAsia" w:ascii="仿宋_GB2312" w:eastAsia="仿宋_GB2312"/>
          <w:sz w:val="24"/>
        </w:rPr>
        <w:t>;</w:t>
      </w:r>
    </w:p>
    <w:p>
      <w:pPr>
        <w:spacing w:line="360" w:lineRule="auto"/>
        <w:ind w:left="240" w:hanging="240" w:hangingChars="100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</w:p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  <w:r>
        <w:rPr>
          <w:rFonts w:hint="eastAsia" w:ascii="仿宋_GB2312" w:eastAsia="仿宋_GB2312"/>
          <w:sz w:val="24"/>
        </w:rPr>
        <w:t>;</w:t>
      </w:r>
    </w:p>
    <w:p>
      <w:pPr>
        <w:spacing w:line="360" w:lineRule="auto"/>
        <w:ind w:left="1920" w:hanging="1920" w:hangingChars="8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360" w:lineRule="auto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六、预期教学成效</w:t>
      </w:r>
    </w:p>
    <w:p>
      <w:pPr>
        <w:spacing w:line="360" w:lineRule="auto"/>
        <w:ind w:left="360" w:hanging="360" w:hangingChars="150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</w:p>
    <w:p>
      <w:pPr>
        <w:spacing w:line="360" w:lineRule="auto"/>
        <w:ind w:left="359" w:leftChars="114" w:hanging="120" w:hanging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  <w:r>
        <w:rPr>
          <w:rFonts w:hint="eastAsia" w:ascii="仿宋_GB2312" w:eastAsia="仿宋_GB2312"/>
          <w:sz w:val="24"/>
        </w:rPr>
        <w:t>;</w:t>
      </w:r>
    </w:p>
    <w:p>
      <w:pPr>
        <w:spacing w:line="360" w:lineRule="auto"/>
        <w:ind w:left="240" w:hanging="240" w:hangingChars="100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</w:p>
    <w:p>
      <w:pPr>
        <w:spacing w:line="360" w:lineRule="auto"/>
        <w:ind w:left="239" w:leftChars="114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  <w:r>
        <w:rPr>
          <w:rFonts w:hint="eastAsia" w:ascii="仿宋_GB2312" w:eastAsia="仿宋_GB2312"/>
          <w:sz w:val="24"/>
        </w:rPr>
        <w:t>;</w:t>
      </w:r>
    </w:p>
    <w:p>
      <w:pPr>
        <w:spacing w:line="360" w:lineRule="auto"/>
        <w:ind w:left="1920" w:hanging="1920" w:hangingChars="800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3.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</w:p>
    <w:p>
      <w:pPr>
        <w:spacing w:line="360" w:lineRule="auto"/>
        <w:ind w:left="239" w:leftChars="114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360" w:lineRule="auto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说明：简述该教学节段思政教学的预期实施效果及成果，描述与课程育德目标对应的具体成效，尽可能可观察、可评估、让学生有获得感。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3BEE5"/>
    <w:multiLevelType w:val="singleLevel"/>
    <w:tmpl w:val="2F63BEE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4177E24"/>
    <w:rsid w:val="6417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2023-10-18T07:00:00Z</dcterms:created>
  <dc:creator>桃子月亮</dc:creator>
  <cp:lastModifiedBy>桃子月亮</cp:lastModifiedBy>
  <dcterms:modified xsi:type="dcterms:W3CDTF">2023-10-18T07:01:02Z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16AF7F350E054EE29E1B8CF37DC015FB_11</vt:lpwstr>
  </property>
</Properties>
</file>