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91A58">
      <w:pPr>
        <w:jc w:val="center"/>
        <w:rPr>
          <w:rFonts w:ascii="仿宋" w:hAnsi="仿宋" w:eastAsia="仿宋" w:cs="仿宋"/>
          <w:b/>
          <w:sz w:val="32"/>
          <w:szCs w:val="32"/>
        </w:rPr>
      </w:pPr>
      <w:r>
        <w:rPr>
          <w:rFonts w:hint="eastAsia" w:ascii="仿宋" w:hAnsi="仿宋" w:eastAsia="仿宋" w:cs="仿宋"/>
          <w:b/>
          <w:sz w:val="32"/>
          <w:szCs w:val="32"/>
          <w:lang w:val="en-US" w:eastAsia="zh-CN"/>
        </w:rPr>
        <w:t>附件1：</w:t>
      </w:r>
      <w:bookmarkStart w:id="0" w:name="_GoBack"/>
      <w:bookmarkEnd w:id="0"/>
      <w:r>
        <w:rPr>
          <w:rFonts w:hint="eastAsia" w:ascii="仿宋" w:hAnsi="仿宋" w:eastAsia="仿宋" w:cs="仿宋"/>
          <w:b/>
          <w:sz w:val="32"/>
          <w:szCs w:val="32"/>
        </w:rPr>
        <w:t>南京航空航天大学课程思政教学竞赛评分参考</w:t>
      </w:r>
    </w:p>
    <w:p w14:paraId="72B47A75">
      <w:pPr>
        <w:jc w:val="left"/>
        <w:rPr>
          <w:rFonts w:ascii="仿宋_GB2312" w:hAnsi="仿宋_GB2312" w:eastAsia="仿宋_GB2312" w:cs="仿宋_GB2312"/>
          <w:b/>
          <w:bCs/>
          <w:szCs w:val="21"/>
        </w:rPr>
      </w:pPr>
    </w:p>
    <w:tbl>
      <w:tblPr>
        <w:tblStyle w:val="5"/>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078"/>
        <w:gridCol w:w="5058"/>
        <w:gridCol w:w="1313"/>
      </w:tblGrid>
      <w:tr w14:paraId="2320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1269" w:type="dxa"/>
            <w:tcBorders>
              <w:top w:val="single" w:color="auto" w:sz="4" w:space="0"/>
              <w:left w:val="single" w:color="auto" w:sz="4" w:space="0"/>
              <w:bottom w:val="single" w:color="auto" w:sz="4" w:space="0"/>
              <w:right w:val="single" w:color="auto" w:sz="4" w:space="0"/>
            </w:tcBorders>
            <w:vAlign w:val="center"/>
          </w:tcPr>
          <w:p w14:paraId="10CAC834">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评价</w:t>
            </w:r>
          </w:p>
          <w:p w14:paraId="4E6F235E">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指标</w:t>
            </w:r>
          </w:p>
        </w:tc>
        <w:tc>
          <w:tcPr>
            <w:tcW w:w="1078" w:type="dxa"/>
            <w:tcBorders>
              <w:top w:val="single" w:color="auto" w:sz="4" w:space="0"/>
              <w:left w:val="single" w:color="auto" w:sz="4" w:space="0"/>
              <w:bottom w:val="single" w:color="auto" w:sz="4" w:space="0"/>
              <w:right w:val="single" w:color="auto" w:sz="4" w:space="0"/>
            </w:tcBorders>
            <w:vAlign w:val="center"/>
          </w:tcPr>
          <w:p w14:paraId="18ACBAFF">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分值</w:t>
            </w:r>
          </w:p>
        </w:tc>
        <w:tc>
          <w:tcPr>
            <w:tcW w:w="5058" w:type="dxa"/>
            <w:tcBorders>
              <w:top w:val="single" w:color="auto" w:sz="4" w:space="0"/>
              <w:left w:val="single" w:color="auto" w:sz="4" w:space="0"/>
              <w:bottom w:val="single" w:color="auto" w:sz="4" w:space="0"/>
              <w:right w:val="single" w:color="auto" w:sz="4" w:space="0"/>
            </w:tcBorders>
            <w:vAlign w:val="center"/>
          </w:tcPr>
          <w:p w14:paraId="358E870E">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评分内容</w:t>
            </w:r>
          </w:p>
        </w:tc>
        <w:tc>
          <w:tcPr>
            <w:tcW w:w="1313" w:type="dxa"/>
            <w:tcBorders>
              <w:top w:val="single" w:color="auto" w:sz="4" w:space="0"/>
              <w:left w:val="single" w:color="auto" w:sz="4" w:space="0"/>
              <w:bottom w:val="single" w:color="auto" w:sz="4" w:space="0"/>
              <w:right w:val="single" w:color="auto" w:sz="4" w:space="0"/>
            </w:tcBorders>
            <w:vAlign w:val="center"/>
          </w:tcPr>
          <w:p w14:paraId="37DFE354">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分值</w:t>
            </w:r>
          </w:p>
        </w:tc>
      </w:tr>
      <w:tr w14:paraId="636F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69" w:type="dxa"/>
            <w:vMerge w:val="restart"/>
            <w:tcBorders>
              <w:top w:val="single" w:color="auto" w:sz="4" w:space="0"/>
              <w:left w:val="single" w:color="auto" w:sz="4" w:space="0"/>
              <w:right w:val="single" w:color="auto" w:sz="4" w:space="0"/>
            </w:tcBorders>
            <w:vAlign w:val="center"/>
          </w:tcPr>
          <w:p w14:paraId="3C590DC5">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教学</w:t>
            </w:r>
          </w:p>
          <w:p w14:paraId="3F72213F">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设计</w:t>
            </w:r>
          </w:p>
        </w:tc>
        <w:tc>
          <w:tcPr>
            <w:tcW w:w="1078" w:type="dxa"/>
            <w:vMerge w:val="restart"/>
            <w:tcBorders>
              <w:top w:val="single" w:color="auto" w:sz="4" w:space="0"/>
              <w:left w:val="single" w:color="auto" w:sz="4" w:space="0"/>
              <w:right w:val="single" w:color="auto" w:sz="4" w:space="0"/>
            </w:tcBorders>
            <w:vAlign w:val="center"/>
          </w:tcPr>
          <w:p w14:paraId="18725032">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30</w:t>
            </w:r>
          </w:p>
        </w:tc>
        <w:tc>
          <w:tcPr>
            <w:tcW w:w="5058" w:type="dxa"/>
            <w:tcBorders>
              <w:top w:val="single" w:color="auto" w:sz="4" w:space="0"/>
              <w:left w:val="single" w:color="auto" w:sz="4" w:space="0"/>
              <w:bottom w:val="single" w:color="auto" w:sz="4" w:space="0"/>
              <w:right w:val="single" w:color="auto" w:sz="4" w:space="0"/>
            </w:tcBorders>
            <w:vAlign w:val="center"/>
          </w:tcPr>
          <w:p w14:paraId="747B4DA0">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备课充分，精心设计教学各个环节，有符合课程大纲、结合课程思政的教学目标、教学内容和教学方法设计。教案完整、规范，条理清晰。</w:t>
            </w:r>
          </w:p>
        </w:tc>
        <w:tc>
          <w:tcPr>
            <w:tcW w:w="1313" w:type="dxa"/>
            <w:tcBorders>
              <w:top w:val="single" w:color="auto" w:sz="4" w:space="0"/>
              <w:left w:val="single" w:color="auto" w:sz="4" w:space="0"/>
              <w:bottom w:val="single" w:color="auto" w:sz="4" w:space="0"/>
              <w:right w:val="single" w:color="auto" w:sz="4" w:space="0"/>
            </w:tcBorders>
            <w:vAlign w:val="center"/>
          </w:tcPr>
          <w:p w14:paraId="395DED8F">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r>
      <w:tr w14:paraId="01E6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69" w:type="dxa"/>
            <w:vMerge w:val="continue"/>
            <w:tcBorders>
              <w:left w:val="single" w:color="auto" w:sz="4" w:space="0"/>
              <w:right w:val="single" w:color="auto" w:sz="4" w:space="0"/>
            </w:tcBorders>
            <w:vAlign w:val="center"/>
          </w:tcPr>
          <w:p w14:paraId="41C183FD">
            <w:pPr>
              <w:snapToGrid w:val="0"/>
              <w:jc w:val="center"/>
              <w:rPr>
                <w:rFonts w:ascii="仿宋_GB2312" w:hAnsi="仿宋_GB2312" w:eastAsia="仿宋_GB2312" w:cs="仿宋_GB2312"/>
                <w:b/>
                <w:sz w:val="28"/>
                <w:szCs w:val="28"/>
              </w:rPr>
            </w:pPr>
          </w:p>
        </w:tc>
        <w:tc>
          <w:tcPr>
            <w:tcW w:w="1078" w:type="dxa"/>
            <w:vMerge w:val="continue"/>
            <w:tcBorders>
              <w:left w:val="single" w:color="auto" w:sz="4" w:space="0"/>
              <w:right w:val="single" w:color="auto" w:sz="4" w:space="0"/>
            </w:tcBorders>
            <w:vAlign w:val="center"/>
          </w:tcPr>
          <w:p w14:paraId="37F15069">
            <w:pPr>
              <w:snapToGrid w:val="0"/>
              <w:rPr>
                <w:rFonts w:ascii="仿宋_GB2312" w:hAnsi="仿宋_GB2312" w:eastAsia="仿宋_GB2312" w:cs="仿宋_GB2312"/>
                <w:sz w:val="28"/>
                <w:szCs w:val="28"/>
              </w:rPr>
            </w:pPr>
          </w:p>
        </w:tc>
        <w:tc>
          <w:tcPr>
            <w:tcW w:w="5058" w:type="dxa"/>
            <w:tcBorders>
              <w:top w:val="single" w:color="auto" w:sz="4" w:space="0"/>
              <w:left w:val="single" w:color="auto" w:sz="4" w:space="0"/>
              <w:bottom w:val="single" w:color="auto" w:sz="4" w:space="0"/>
              <w:right w:val="single" w:color="auto" w:sz="4" w:space="0"/>
            </w:tcBorders>
            <w:vAlign w:val="center"/>
          </w:tcPr>
          <w:p w14:paraId="3FA69B45">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知识讲授符合高校学生认知规律和教学实际。</w:t>
            </w:r>
          </w:p>
        </w:tc>
        <w:tc>
          <w:tcPr>
            <w:tcW w:w="1313" w:type="dxa"/>
            <w:tcBorders>
              <w:top w:val="single" w:color="auto" w:sz="4" w:space="0"/>
              <w:left w:val="single" w:color="auto" w:sz="4" w:space="0"/>
              <w:bottom w:val="single" w:color="auto" w:sz="4" w:space="0"/>
              <w:right w:val="single" w:color="auto" w:sz="4" w:space="0"/>
            </w:tcBorders>
            <w:vAlign w:val="center"/>
          </w:tcPr>
          <w:p w14:paraId="759F78B6">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r>
      <w:tr w14:paraId="3A2A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69" w:type="dxa"/>
            <w:vMerge w:val="restart"/>
            <w:tcBorders>
              <w:top w:val="single" w:color="auto" w:sz="4" w:space="0"/>
              <w:left w:val="single" w:color="auto" w:sz="4" w:space="0"/>
              <w:right w:val="single" w:color="auto" w:sz="4" w:space="0"/>
            </w:tcBorders>
            <w:vAlign w:val="center"/>
          </w:tcPr>
          <w:p w14:paraId="0D2E8CAE">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教学</w:t>
            </w:r>
          </w:p>
          <w:p w14:paraId="4DD7A769">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实施</w:t>
            </w:r>
          </w:p>
        </w:tc>
        <w:tc>
          <w:tcPr>
            <w:tcW w:w="1078" w:type="dxa"/>
            <w:vMerge w:val="restart"/>
            <w:tcBorders>
              <w:top w:val="single" w:color="auto" w:sz="4" w:space="0"/>
              <w:left w:val="single" w:color="auto" w:sz="4" w:space="0"/>
              <w:right w:val="single" w:color="auto" w:sz="4" w:space="0"/>
            </w:tcBorders>
            <w:vAlign w:val="center"/>
          </w:tcPr>
          <w:p w14:paraId="653E3A74">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3</w:t>
            </w:r>
            <w:r>
              <w:rPr>
                <w:rFonts w:hint="eastAsia" w:ascii="仿宋_GB2312" w:hAnsi="仿宋_GB2312" w:eastAsia="仿宋_GB2312" w:cs="仿宋_GB2312"/>
                <w:sz w:val="28"/>
                <w:szCs w:val="28"/>
              </w:rPr>
              <w:t>0</w:t>
            </w:r>
          </w:p>
        </w:tc>
        <w:tc>
          <w:tcPr>
            <w:tcW w:w="5058" w:type="dxa"/>
            <w:tcBorders>
              <w:top w:val="single" w:color="auto" w:sz="4" w:space="0"/>
              <w:left w:val="single" w:color="auto" w:sz="4" w:space="0"/>
              <w:bottom w:val="single" w:color="auto" w:sz="4" w:space="0"/>
              <w:right w:val="single" w:color="auto" w:sz="4" w:space="0"/>
            </w:tcBorders>
            <w:vAlign w:val="center"/>
          </w:tcPr>
          <w:p w14:paraId="1F556476">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围绕选题设计，教学目的明确，教学思路清晰。善于提炼专业课程蕴含的思想政治教育元素，能将思想政治教育和专业知识传授融合，教学内容呈现恰当，教学活动组织合理。</w:t>
            </w:r>
          </w:p>
        </w:tc>
        <w:tc>
          <w:tcPr>
            <w:tcW w:w="1313" w:type="dxa"/>
            <w:tcBorders>
              <w:top w:val="single" w:color="auto" w:sz="4" w:space="0"/>
              <w:left w:val="single" w:color="auto" w:sz="4" w:space="0"/>
              <w:bottom w:val="single" w:color="auto" w:sz="4" w:space="0"/>
              <w:right w:val="single" w:color="auto" w:sz="4" w:space="0"/>
            </w:tcBorders>
            <w:vAlign w:val="center"/>
          </w:tcPr>
          <w:p w14:paraId="29FBC10F">
            <w:pPr>
              <w:snapToGrid w:val="0"/>
              <w:jc w:val="center"/>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0</w:t>
            </w:r>
          </w:p>
        </w:tc>
      </w:tr>
      <w:tr w14:paraId="5425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69" w:type="dxa"/>
            <w:vMerge w:val="continue"/>
            <w:tcBorders>
              <w:left w:val="single" w:color="auto" w:sz="4" w:space="0"/>
              <w:right w:val="single" w:color="auto" w:sz="4" w:space="0"/>
            </w:tcBorders>
            <w:vAlign w:val="center"/>
          </w:tcPr>
          <w:p w14:paraId="7F12D654">
            <w:pPr>
              <w:snapToGrid w:val="0"/>
              <w:jc w:val="center"/>
              <w:rPr>
                <w:rFonts w:ascii="仿宋_GB2312" w:hAnsi="仿宋_GB2312" w:eastAsia="仿宋_GB2312" w:cs="仿宋_GB2312"/>
                <w:b/>
                <w:sz w:val="28"/>
                <w:szCs w:val="28"/>
              </w:rPr>
            </w:pPr>
          </w:p>
        </w:tc>
        <w:tc>
          <w:tcPr>
            <w:tcW w:w="1078" w:type="dxa"/>
            <w:vMerge w:val="continue"/>
            <w:tcBorders>
              <w:left w:val="single" w:color="auto" w:sz="4" w:space="0"/>
              <w:right w:val="single" w:color="auto" w:sz="4" w:space="0"/>
            </w:tcBorders>
            <w:vAlign w:val="center"/>
          </w:tcPr>
          <w:p w14:paraId="10B55851">
            <w:pPr>
              <w:snapToGrid w:val="0"/>
              <w:rPr>
                <w:rFonts w:ascii="仿宋_GB2312" w:hAnsi="仿宋_GB2312" w:eastAsia="仿宋_GB2312" w:cs="仿宋_GB2312"/>
                <w:sz w:val="28"/>
                <w:szCs w:val="28"/>
              </w:rPr>
            </w:pPr>
          </w:p>
        </w:tc>
        <w:tc>
          <w:tcPr>
            <w:tcW w:w="5058" w:type="dxa"/>
            <w:tcBorders>
              <w:top w:val="single" w:color="auto" w:sz="4" w:space="0"/>
              <w:left w:val="single" w:color="auto" w:sz="4" w:space="0"/>
              <w:bottom w:val="single" w:color="auto" w:sz="4" w:space="0"/>
              <w:right w:val="single" w:color="auto" w:sz="4" w:space="0"/>
            </w:tcBorders>
            <w:vAlign w:val="center"/>
          </w:tcPr>
          <w:p w14:paraId="1809E263">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善于综合运用现代信息技术手段和数字资源把思政教育巧妙渗透教学全过程，教学方法运用恰当，教学策略使用有效。</w:t>
            </w:r>
          </w:p>
        </w:tc>
        <w:tc>
          <w:tcPr>
            <w:tcW w:w="1313" w:type="dxa"/>
            <w:tcBorders>
              <w:top w:val="single" w:color="auto" w:sz="4" w:space="0"/>
              <w:left w:val="single" w:color="auto" w:sz="4" w:space="0"/>
              <w:bottom w:val="single" w:color="auto" w:sz="4" w:space="0"/>
              <w:right w:val="single" w:color="auto" w:sz="4" w:space="0"/>
            </w:tcBorders>
            <w:vAlign w:val="center"/>
          </w:tcPr>
          <w:p w14:paraId="4E3EA3F7">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0803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1269" w:type="dxa"/>
            <w:vMerge w:val="continue"/>
            <w:tcBorders>
              <w:left w:val="single" w:color="auto" w:sz="4" w:space="0"/>
              <w:bottom w:val="single" w:color="auto" w:sz="4" w:space="0"/>
              <w:right w:val="single" w:color="auto" w:sz="4" w:space="0"/>
            </w:tcBorders>
            <w:vAlign w:val="center"/>
          </w:tcPr>
          <w:p w14:paraId="2DE932D5">
            <w:pPr>
              <w:snapToGrid w:val="0"/>
              <w:jc w:val="center"/>
              <w:rPr>
                <w:rFonts w:ascii="仿宋_GB2312" w:hAnsi="仿宋_GB2312" w:eastAsia="仿宋_GB2312" w:cs="仿宋_GB2312"/>
                <w:b/>
                <w:sz w:val="28"/>
                <w:szCs w:val="28"/>
              </w:rPr>
            </w:pPr>
          </w:p>
        </w:tc>
        <w:tc>
          <w:tcPr>
            <w:tcW w:w="1078" w:type="dxa"/>
            <w:vMerge w:val="continue"/>
            <w:tcBorders>
              <w:left w:val="single" w:color="auto" w:sz="4" w:space="0"/>
              <w:bottom w:val="single" w:color="auto" w:sz="4" w:space="0"/>
              <w:right w:val="single" w:color="auto" w:sz="4" w:space="0"/>
            </w:tcBorders>
            <w:vAlign w:val="center"/>
          </w:tcPr>
          <w:p w14:paraId="664FE639">
            <w:pPr>
              <w:snapToGrid w:val="0"/>
              <w:rPr>
                <w:rFonts w:ascii="仿宋_GB2312" w:hAnsi="仿宋_GB2312" w:eastAsia="仿宋_GB2312" w:cs="仿宋_GB2312"/>
                <w:sz w:val="28"/>
                <w:szCs w:val="28"/>
              </w:rPr>
            </w:pPr>
          </w:p>
        </w:tc>
        <w:tc>
          <w:tcPr>
            <w:tcW w:w="5058" w:type="dxa"/>
            <w:tcBorders>
              <w:top w:val="single" w:color="auto" w:sz="4" w:space="0"/>
              <w:left w:val="single" w:color="auto" w:sz="4" w:space="0"/>
              <w:bottom w:val="single" w:color="auto" w:sz="4" w:space="0"/>
              <w:right w:val="single" w:color="auto" w:sz="4" w:space="0"/>
            </w:tcBorders>
            <w:vAlign w:val="center"/>
          </w:tcPr>
          <w:p w14:paraId="22401889">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注重教学互动，突出学生主体地位，调动学生参与课堂积极性。</w:t>
            </w:r>
          </w:p>
        </w:tc>
        <w:tc>
          <w:tcPr>
            <w:tcW w:w="1313" w:type="dxa"/>
            <w:tcBorders>
              <w:top w:val="single" w:color="auto" w:sz="4" w:space="0"/>
              <w:left w:val="single" w:color="auto" w:sz="4" w:space="0"/>
              <w:bottom w:val="single" w:color="auto" w:sz="4" w:space="0"/>
              <w:right w:val="single" w:color="auto" w:sz="4" w:space="0"/>
            </w:tcBorders>
            <w:vAlign w:val="center"/>
          </w:tcPr>
          <w:p w14:paraId="0FFA14F7">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7A28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1269" w:type="dxa"/>
            <w:vMerge w:val="restart"/>
            <w:tcBorders>
              <w:top w:val="single" w:color="auto" w:sz="4" w:space="0"/>
              <w:left w:val="single" w:color="auto" w:sz="4" w:space="0"/>
              <w:right w:val="single" w:color="auto" w:sz="4" w:space="0"/>
            </w:tcBorders>
            <w:vAlign w:val="center"/>
          </w:tcPr>
          <w:p w14:paraId="78712F22">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教学</w:t>
            </w:r>
          </w:p>
          <w:p w14:paraId="292A2F14">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效果</w:t>
            </w:r>
          </w:p>
        </w:tc>
        <w:tc>
          <w:tcPr>
            <w:tcW w:w="1078" w:type="dxa"/>
            <w:vMerge w:val="restart"/>
            <w:tcBorders>
              <w:top w:val="single" w:color="auto" w:sz="4" w:space="0"/>
              <w:left w:val="single" w:color="auto" w:sz="4" w:space="0"/>
              <w:right w:val="single" w:color="auto" w:sz="4" w:space="0"/>
            </w:tcBorders>
            <w:vAlign w:val="center"/>
          </w:tcPr>
          <w:p w14:paraId="525CD254">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15</w:t>
            </w:r>
          </w:p>
        </w:tc>
        <w:tc>
          <w:tcPr>
            <w:tcW w:w="5058" w:type="dxa"/>
            <w:tcBorders>
              <w:top w:val="single" w:color="auto" w:sz="4" w:space="0"/>
              <w:left w:val="single" w:color="auto" w:sz="4" w:space="0"/>
              <w:bottom w:val="single" w:color="auto" w:sz="4" w:space="0"/>
              <w:right w:val="single" w:color="auto" w:sz="4" w:space="0"/>
            </w:tcBorders>
            <w:vAlign w:val="center"/>
          </w:tcPr>
          <w:p w14:paraId="4DFDC5F8">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注重思想政治教育和价值引领，有效达成教学目标，效果明显。</w:t>
            </w:r>
          </w:p>
        </w:tc>
        <w:tc>
          <w:tcPr>
            <w:tcW w:w="1313" w:type="dxa"/>
            <w:tcBorders>
              <w:top w:val="single" w:color="auto" w:sz="4" w:space="0"/>
              <w:left w:val="single" w:color="auto" w:sz="4" w:space="0"/>
              <w:bottom w:val="single" w:color="auto" w:sz="4" w:space="0"/>
              <w:right w:val="single" w:color="auto" w:sz="4" w:space="0"/>
            </w:tcBorders>
            <w:vAlign w:val="center"/>
          </w:tcPr>
          <w:p w14:paraId="1BA092B0">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14:paraId="30D2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269" w:type="dxa"/>
            <w:vMerge w:val="continue"/>
            <w:tcBorders>
              <w:left w:val="single" w:color="auto" w:sz="4" w:space="0"/>
              <w:right w:val="single" w:color="auto" w:sz="4" w:space="0"/>
            </w:tcBorders>
            <w:vAlign w:val="center"/>
          </w:tcPr>
          <w:p w14:paraId="71EE86CE">
            <w:pPr>
              <w:snapToGrid w:val="0"/>
              <w:jc w:val="center"/>
              <w:rPr>
                <w:rFonts w:ascii="仿宋_GB2312" w:hAnsi="仿宋_GB2312" w:eastAsia="仿宋_GB2312" w:cs="仿宋_GB2312"/>
                <w:b/>
                <w:sz w:val="28"/>
                <w:szCs w:val="28"/>
              </w:rPr>
            </w:pPr>
          </w:p>
        </w:tc>
        <w:tc>
          <w:tcPr>
            <w:tcW w:w="1078" w:type="dxa"/>
            <w:vMerge w:val="continue"/>
            <w:tcBorders>
              <w:left w:val="single" w:color="auto" w:sz="4" w:space="0"/>
              <w:right w:val="single" w:color="auto" w:sz="4" w:space="0"/>
            </w:tcBorders>
            <w:vAlign w:val="center"/>
          </w:tcPr>
          <w:p w14:paraId="66B67642">
            <w:pPr>
              <w:snapToGrid w:val="0"/>
              <w:rPr>
                <w:rFonts w:ascii="仿宋_GB2312" w:hAnsi="仿宋_GB2312" w:eastAsia="仿宋_GB2312" w:cs="仿宋_GB2312"/>
                <w:sz w:val="28"/>
                <w:szCs w:val="28"/>
              </w:rPr>
            </w:pPr>
          </w:p>
        </w:tc>
        <w:tc>
          <w:tcPr>
            <w:tcW w:w="5058" w:type="dxa"/>
            <w:tcBorders>
              <w:top w:val="single" w:color="auto" w:sz="4" w:space="0"/>
              <w:left w:val="single" w:color="auto" w:sz="4" w:space="0"/>
              <w:bottom w:val="single" w:color="auto" w:sz="4" w:space="0"/>
              <w:right w:val="single" w:color="auto" w:sz="4" w:space="0"/>
            </w:tcBorders>
            <w:vAlign w:val="center"/>
          </w:tcPr>
          <w:p w14:paraId="00E3B1B3">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教学语言规范、教学逻辑严谨，感染力强，课堂教学气氛好。</w:t>
            </w:r>
          </w:p>
        </w:tc>
        <w:tc>
          <w:tcPr>
            <w:tcW w:w="1313" w:type="dxa"/>
            <w:tcBorders>
              <w:top w:val="single" w:color="auto" w:sz="4" w:space="0"/>
              <w:left w:val="single" w:color="auto" w:sz="4" w:space="0"/>
              <w:bottom w:val="single" w:color="auto" w:sz="4" w:space="0"/>
              <w:right w:val="single" w:color="auto" w:sz="4" w:space="0"/>
            </w:tcBorders>
            <w:vAlign w:val="center"/>
          </w:tcPr>
          <w:p w14:paraId="3A24CCD6">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14:paraId="1F36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1269" w:type="dxa"/>
            <w:vMerge w:val="continue"/>
            <w:tcBorders>
              <w:left w:val="single" w:color="auto" w:sz="4" w:space="0"/>
              <w:bottom w:val="single" w:color="auto" w:sz="4" w:space="0"/>
              <w:right w:val="single" w:color="auto" w:sz="4" w:space="0"/>
            </w:tcBorders>
            <w:vAlign w:val="center"/>
          </w:tcPr>
          <w:p w14:paraId="28A9155B">
            <w:pPr>
              <w:snapToGrid w:val="0"/>
              <w:jc w:val="center"/>
              <w:rPr>
                <w:rFonts w:ascii="仿宋_GB2312" w:hAnsi="仿宋_GB2312" w:eastAsia="仿宋_GB2312" w:cs="仿宋_GB2312"/>
                <w:b/>
                <w:sz w:val="28"/>
                <w:szCs w:val="28"/>
              </w:rPr>
            </w:pPr>
          </w:p>
        </w:tc>
        <w:tc>
          <w:tcPr>
            <w:tcW w:w="1078" w:type="dxa"/>
            <w:vMerge w:val="continue"/>
            <w:tcBorders>
              <w:left w:val="single" w:color="auto" w:sz="4" w:space="0"/>
              <w:bottom w:val="single" w:color="auto" w:sz="4" w:space="0"/>
              <w:right w:val="single" w:color="auto" w:sz="4" w:space="0"/>
            </w:tcBorders>
            <w:vAlign w:val="center"/>
          </w:tcPr>
          <w:p w14:paraId="79A50F49">
            <w:pPr>
              <w:snapToGrid w:val="0"/>
              <w:rPr>
                <w:rFonts w:ascii="仿宋_GB2312" w:hAnsi="仿宋_GB2312" w:eastAsia="仿宋_GB2312" w:cs="仿宋_GB2312"/>
                <w:sz w:val="28"/>
                <w:szCs w:val="28"/>
              </w:rPr>
            </w:pPr>
          </w:p>
        </w:tc>
        <w:tc>
          <w:tcPr>
            <w:tcW w:w="5058" w:type="dxa"/>
            <w:tcBorders>
              <w:top w:val="single" w:color="auto" w:sz="4" w:space="0"/>
              <w:left w:val="single" w:color="auto" w:sz="4" w:space="0"/>
              <w:bottom w:val="single" w:color="auto" w:sz="4" w:space="0"/>
              <w:right w:val="single" w:color="auto" w:sz="4" w:space="0"/>
            </w:tcBorders>
            <w:vAlign w:val="center"/>
          </w:tcPr>
          <w:p w14:paraId="4C484B72">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能够为学生搭建课外学习平台，引导学生进行自主学习和自主评价。</w:t>
            </w:r>
          </w:p>
        </w:tc>
        <w:tc>
          <w:tcPr>
            <w:tcW w:w="1313" w:type="dxa"/>
            <w:tcBorders>
              <w:top w:val="single" w:color="auto" w:sz="4" w:space="0"/>
              <w:left w:val="single" w:color="auto" w:sz="4" w:space="0"/>
              <w:bottom w:val="single" w:color="auto" w:sz="4" w:space="0"/>
              <w:right w:val="single" w:color="auto" w:sz="4" w:space="0"/>
            </w:tcBorders>
            <w:vAlign w:val="center"/>
          </w:tcPr>
          <w:p w14:paraId="0C832BDC">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14:paraId="6D1C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69" w:type="dxa"/>
            <w:vMerge w:val="restart"/>
            <w:tcBorders>
              <w:top w:val="single" w:color="auto" w:sz="4" w:space="0"/>
              <w:left w:val="single" w:color="auto" w:sz="4" w:space="0"/>
              <w:right w:val="single" w:color="auto" w:sz="4" w:space="0"/>
            </w:tcBorders>
            <w:vAlign w:val="center"/>
          </w:tcPr>
          <w:p w14:paraId="00AB9E69">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教师素养与特色创新</w:t>
            </w:r>
          </w:p>
        </w:tc>
        <w:tc>
          <w:tcPr>
            <w:tcW w:w="1078" w:type="dxa"/>
            <w:vMerge w:val="restart"/>
            <w:tcBorders>
              <w:top w:val="single" w:color="auto" w:sz="4" w:space="0"/>
              <w:left w:val="single" w:color="auto" w:sz="4" w:space="0"/>
              <w:right w:val="single" w:color="auto" w:sz="4" w:space="0"/>
            </w:tcBorders>
            <w:vAlign w:val="center"/>
          </w:tcPr>
          <w:p w14:paraId="52E8E461">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5</w:t>
            </w:r>
          </w:p>
        </w:tc>
        <w:tc>
          <w:tcPr>
            <w:tcW w:w="5058" w:type="dxa"/>
            <w:tcBorders>
              <w:top w:val="single" w:color="auto" w:sz="4" w:space="0"/>
              <w:left w:val="single" w:color="auto" w:sz="4" w:space="0"/>
              <w:bottom w:val="single" w:color="auto" w:sz="4" w:space="0"/>
              <w:right w:val="single" w:color="auto" w:sz="4" w:space="0"/>
            </w:tcBorders>
            <w:vAlign w:val="center"/>
          </w:tcPr>
          <w:p w14:paraId="4B8E4CF5">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具有良好的专业素养、科学精神、人文情怀；教态大方，举止得体，精神饱满，综合素质高；个人教学特色突出。</w:t>
            </w:r>
          </w:p>
        </w:tc>
        <w:tc>
          <w:tcPr>
            <w:tcW w:w="1313" w:type="dxa"/>
            <w:tcBorders>
              <w:top w:val="single" w:color="auto" w:sz="4" w:space="0"/>
              <w:left w:val="single" w:color="auto" w:sz="4" w:space="0"/>
              <w:bottom w:val="single" w:color="auto" w:sz="4" w:space="0"/>
              <w:right w:val="single" w:color="auto" w:sz="4" w:space="0"/>
            </w:tcBorders>
            <w:vAlign w:val="center"/>
          </w:tcPr>
          <w:p w14:paraId="2D2B31A4">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4C74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69" w:type="dxa"/>
            <w:vMerge w:val="continue"/>
            <w:tcBorders>
              <w:left w:val="single" w:color="auto" w:sz="4" w:space="0"/>
              <w:right w:val="single" w:color="auto" w:sz="4" w:space="0"/>
            </w:tcBorders>
            <w:vAlign w:val="center"/>
          </w:tcPr>
          <w:p w14:paraId="6B98B378">
            <w:pPr>
              <w:snapToGrid w:val="0"/>
              <w:jc w:val="center"/>
              <w:rPr>
                <w:rFonts w:ascii="仿宋_GB2312" w:hAnsi="仿宋_GB2312" w:eastAsia="仿宋_GB2312" w:cs="仿宋_GB2312"/>
                <w:b/>
                <w:sz w:val="28"/>
                <w:szCs w:val="28"/>
              </w:rPr>
            </w:pPr>
          </w:p>
        </w:tc>
        <w:tc>
          <w:tcPr>
            <w:tcW w:w="1078" w:type="dxa"/>
            <w:vMerge w:val="continue"/>
            <w:tcBorders>
              <w:left w:val="single" w:color="auto" w:sz="4" w:space="0"/>
              <w:bottom w:val="single" w:color="auto" w:sz="4" w:space="0"/>
              <w:right w:val="single" w:color="auto" w:sz="4" w:space="0"/>
            </w:tcBorders>
            <w:vAlign w:val="center"/>
          </w:tcPr>
          <w:p w14:paraId="5C29E8DF">
            <w:pPr>
              <w:snapToGrid w:val="0"/>
              <w:rPr>
                <w:rFonts w:ascii="仿宋_GB2312" w:hAnsi="仿宋_GB2312" w:eastAsia="仿宋_GB2312" w:cs="仿宋_GB2312"/>
                <w:sz w:val="28"/>
                <w:szCs w:val="28"/>
              </w:rPr>
            </w:pPr>
          </w:p>
        </w:tc>
        <w:tc>
          <w:tcPr>
            <w:tcW w:w="5058" w:type="dxa"/>
            <w:tcBorders>
              <w:top w:val="single" w:color="auto" w:sz="4" w:space="0"/>
              <w:left w:val="single" w:color="auto" w:sz="4" w:space="0"/>
              <w:bottom w:val="single" w:color="auto" w:sz="4" w:space="0"/>
              <w:right w:val="single" w:color="auto" w:sz="4" w:space="0"/>
            </w:tcBorders>
            <w:vAlign w:val="center"/>
          </w:tcPr>
          <w:p w14:paraId="4ED78A9A">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思政育人</w:t>
            </w:r>
            <w:r>
              <w:rPr>
                <w:rFonts w:ascii="仿宋_GB2312" w:hAnsi="仿宋_GB2312" w:eastAsia="仿宋_GB2312" w:cs="仿宋_GB2312"/>
                <w:sz w:val="28"/>
                <w:szCs w:val="28"/>
              </w:rPr>
              <w:t>效果好，</w:t>
            </w:r>
            <w:r>
              <w:rPr>
                <w:rFonts w:hint="eastAsia" w:ascii="仿宋_GB2312" w:hAnsi="仿宋_GB2312" w:eastAsia="仿宋_GB2312" w:cs="仿宋_GB2312"/>
                <w:sz w:val="28"/>
                <w:szCs w:val="28"/>
              </w:rPr>
              <w:t>特色鲜明，具有较强的示范性。</w:t>
            </w:r>
          </w:p>
        </w:tc>
        <w:tc>
          <w:tcPr>
            <w:tcW w:w="1313" w:type="dxa"/>
            <w:tcBorders>
              <w:top w:val="single" w:color="auto" w:sz="4" w:space="0"/>
              <w:left w:val="single" w:color="auto" w:sz="4" w:space="0"/>
              <w:bottom w:val="single" w:color="auto" w:sz="4" w:space="0"/>
              <w:right w:val="single" w:color="auto" w:sz="4" w:space="0"/>
            </w:tcBorders>
            <w:vAlign w:val="center"/>
          </w:tcPr>
          <w:p w14:paraId="3DED1CBF">
            <w:pPr>
              <w:snapToGrid w:val="0"/>
              <w:jc w:val="center"/>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5</w:t>
            </w:r>
          </w:p>
        </w:tc>
      </w:tr>
    </w:tbl>
    <w:p w14:paraId="3329E5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7B599E"/>
    <w:rsid w:val="00117F7E"/>
    <w:rsid w:val="0026425D"/>
    <w:rsid w:val="0035355A"/>
    <w:rsid w:val="004073ED"/>
    <w:rsid w:val="00427543"/>
    <w:rsid w:val="0051233A"/>
    <w:rsid w:val="005A4246"/>
    <w:rsid w:val="006D756A"/>
    <w:rsid w:val="00712EB4"/>
    <w:rsid w:val="00763592"/>
    <w:rsid w:val="00781D7E"/>
    <w:rsid w:val="007B599E"/>
    <w:rsid w:val="00870C5C"/>
    <w:rsid w:val="00876CF8"/>
    <w:rsid w:val="009502A6"/>
    <w:rsid w:val="009A5817"/>
    <w:rsid w:val="009B021D"/>
    <w:rsid w:val="009C00E4"/>
    <w:rsid w:val="00A15642"/>
    <w:rsid w:val="00A61B52"/>
    <w:rsid w:val="00AA4D9A"/>
    <w:rsid w:val="00B24C83"/>
    <w:rsid w:val="00B92FCA"/>
    <w:rsid w:val="00BE798E"/>
    <w:rsid w:val="00C16FAD"/>
    <w:rsid w:val="00C8337F"/>
    <w:rsid w:val="00DD48A3"/>
    <w:rsid w:val="00DF4B16"/>
    <w:rsid w:val="00E374F0"/>
    <w:rsid w:val="00E67510"/>
    <w:rsid w:val="00EB017E"/>
    <w:rsid w:val="00F94B80"/>
    <w:rsid w:val="00FE1AE2"/>
    <w:rsid w:val="00FF687D"/>
    <w:rsid w:val="010034BE"/>
    <w:rsid w:val="13E80D1E"/>
    <w:rsid w:val="1857484A"/>
    <w:rsid w:val="419A31FB"/>
    <w:rsid w:val="66C90A42"/>
    <w:rsid w:val="673F628A"/>
    <w:rsid w:val="6B0D7F5C"/>
    <w:rsid w:val="6DD0406B"/>
    <w:rsid w:val="7B857FF8"/>
    <w:rsid w:val="7F38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462</Words>
  <Characters>473</Characters>
  <Lines>3</Lines>
  <Paragraphs>1</Paragraphs>
  <TotalTime>143</TotalTime>
  <ScaleCrop>false</ScaleCrop>
  <LinksUpToDate>false</LinksUpToDate>
  <CharactersWithSpaces>481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2018-10-24T01:32:00Z</dcterms:created>
  <dc:creator>李蓓春</dc:creator>
  <cp:lastModifiedBy>桃子月亮</cp:lastModifiedBy>
  <cp:lastPrinted>2019-12-12T06:21:00Z</cp:lastPrinted>
  <dcterms:modified xsi:type="dcterms:W3CDTF">2024-11-21T06:33:38Z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DBA9D2765F674E7B929154B1B1810A77_12</vt:lpwstr>
  </property>
</Properties>
</file>