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C0C25">
      <w:pPr>
        <w:pStyle w:val="3"/>
        <w:keepNext w:val="0"/>
        <w:keepLines w:val="0"/>
        <w:pageBreakBefore w:val="0"/>
        <w:kinsoku/>
        <w:overflowPunct/>
        <w:topLinePunct w:val="0"/>
        <w:bidi w:val="0"/>
        <w:adjustRightInd/>
        <w:snapToGrid/>
        <w:spacing w:line="440" w:lineRule="exact"/>
        <w:textAlignment w:val="auto"/>
        <w:rPr>
          <w:rFonts w:hint="eastAsia" w:cs="Times New Roman" w:asciiTheme="majorEastAsia" w:hAnsiTheme="majorEastAsia" w:eastAsiaTheme="majorEastAsia"/>
          <w:b/>
          <w:bCs/>
          <w:kern w:val="2"/>
          <w:sz w:val="43"/>
          <w:szCs w:val="43"/>
          <w:lang w:val="en-US" w:eastAsia="zh-CN" w:bidi="ar-SA"/>
        </w:rPr>
      </w:pPr>
      <w:r>
        <w:rPr>
          <w:rFonts w:hint="eastAsia" w:cs="Times New Roman" w:asciiTheme="majorEastAsia" w:hAnsiTheme="majorEastAsia" w:eastAsiaTheme="majorEastAsia"/>
          <w:b/>
          <w:bCs/>
          <w:kern w:val="2"/>
          <w:sz w:val="43"/>
          <w:szCs w:val="43"/>
          <w:lang w:val="en-US" w:eastAsia="zh-CN" w:bidi="ar-SA"/>
        </w:rPr>
        <w:t>基层党支部理论学习清单</w:t>
      </w:r>
    </w:p>
    <w:p w14:paraId="14F7E8F8">
      <w:pPr>
        <w:keepNext w:val="0"/>
        <w:keepLines w:val="0"/>
        <w:pageBreakBefore w:val="0"/>
        <w:widowControl/>
        <w:kinsoku/>
        <w:overflowPunct/>
        <w:topLinePunct w:val="0"/>
        <w:autoSpaceDE/>
        <w:autoSpaceDN/>
        <w:bidi w:val="0"/>
        <w:adjustRightInd/>
        <w:snapToGrid/>
        <w:spacing w:before="0" w:after="0" w:line="440" w:lineRule="exact"/>
        <w:ind w:left="0" w:right="0"/>
        <w:jc w:val="center"/>
        <w:textAlignment w:val="auto"/>
        <w:rPr>
          <w:rFonts w:hint="eastAsia" w:ascii="楷体" w:hAnsi="楷体" w:eastAsia="楷体" w:cs="Times New Roman"/>
          <w:kern w:val="2"/>
          <w:sz w:val="31"/>
          <w:szCs w:val="31"/>
        </w:rPr>
      </w:pPr>
      <w:r>
        <w:rPr>
          <w:rFonts w:hint="eastAsia" w:ascii="楷体" w:hAnsi="楷体" w:eastAsia="楷体" w:cs="Times New Roman"/>
          <w:kern w:val="2"/>
          <w:sz w:val="31"/>
          <w:szCs w:val="31"/>
        </w:rPr>
        <w:t>（2024 年 11 月）</w:t>
      </w:r>
    </w:p>
    <w:p w14:paraId="0D024D9B">
      <w:pPr>
        <w:widowControl/>
        <w:autoSpaceDE/>
        <w:autoSpaceDN/>
        <w:spacing w:before="0" w:after="0" w:line="440" w:lineRule="exact"/>
        <w:ind w:left="0" w:right="0"/>
        <w:jc w:val="left"/>
      </w:pPr>
      <w:r>
        <w:rPr>
          <w:rFonts w:hint="eastAsia" w:ascii="仿宋" w:hAnsi="仿宋" w:eastAsia="仿宋" w:cs="Times New Roman"/>
          <w:kern w:val="2"/>
          <w:sz w:val="31"/>
          <w:szCs w:val="31"/>
          <w:lang w:val="en-US" w:eastAsia="zh-CN" w:bidi="ar-SA"/>
        </w:rPr>
        <w:t>各院级党组织、各党支部：</w:t>
      </w:r>
    </w:p>
    <w:p w14:paraId="3B90A878">
      <w:pPr>
        <w:keepNext w:val="0"/>
        <w:keepLines w:val="0"/>
        <w:pageBreakBefore w:val="0"/>
        <w:widowControl/>
        <w:kinsoku/>
        <w:wordWrap/>
        <w:overflowPunct/>
        <w:topLinePunct w:val="0"/>
        <w:autoSpaceDE/>
        <w:autoSpaceDN/>
        <w:bidi w:val="0"/>
        <w:adjustRightInd/>
        <w:snapToGrid/>
        <w:spacing w:before="0" w:after="0" w:line="440" w:lineRule="exact"/>
        <w:ind w:left="0" w:right="0" w:firstLine="620" w:firstLineChars="200"/>
        <w:jc w:val="left"/>
        <w:textAlignment w:val="auto"/>
      </w:pPr>
      <w:r>
        <w:rPr>
          <w:rFonts w:hint="eastAsia" w:ascii="仿宋" w:hAnsi="仿宋" w:eastAsia="仿宋" w:cs="Times New Roman"/>
          <w:kern w:val="2"/>
          <w:sz w:val="31"/>
          <w:szCs w:val="31"/>
          <w:lang w:val="en-US" w:eastAsia="zh-CN" w:bidi="ar-SA"/>
        </w:rPr>
        <w:t>2024 年 11 月基层党支部理论学习清单如下：</w:t>
      </w:r>
    </w:p>
    <w:tbl>
      <w:tblPr>
        <w:tblStyle w:val="4"/>
        <w:tblpPr w:leftFromText="180" w:rightFromText="180" w:vertAnchor="text" w:horzAnchor="page" w:tblpX="959" w:tblpY="12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
        <w:gridCol w:w="7655"/>
        <w:gridCol w:w="1465"/>
      </w:tblGrid>
      <w:tr w14:paraId="5CE01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01" w:type="dxa"/>
          </w:tcPr>
          <w:p w14:paraId="3820732C">
            <w:pPr>
              <w:pStyle w:val="8"/>
              <w:keepNext w:val="0"/>
              <w:keepLines w:val="0"/>
              <w:pageBreakBefore w:val="0"/>
              <w:kinsoku/>
              <w:overflowPunct/>
              <w:topLinePunct w:val="0"/>
              <w:bidi w:val="0"/>
              <w:adjustRightInd/>
              <w:snapToGrid/>
              <w:spacing w:before="95" w:line="440" w:lineRule="exact"/>
              <w:ind w:left="9" w:right="1"/>
              <w:textAlignment w:val="auto"/>
              <w:rPr>
                <w:rFonts w:hint="eastAsia" w:ascii="黑体" w:hAnsi="黑体" w:eastAsia="黑体" w:cs="黑体"/>
                <w:sz w:val="28"/>
              </w:rPr>
            </w:pPr>
            <w:r>
              <w:rPr>
                <w:rFonts w:hint="eastAsia" w:ascii="黑体" w:hAnsi="黑体" w:eastAsia="黑体" w:cs="黑体"/>
                <w:spacing w:val="-6"/>
                <w:sz w:val="28"/>
              </w:rPr>
              <w:t>序号</w:t>
            </w:r>
          </w:p>
        </w:tc>
        <w:tc>
          <w:tcPr>
            <w:tcW w:w="7655" w:type="dxa"/>
          </w:tcPr>
          <w:p w14:paraId="26D5B629">
            <w:pPr>
              <w:pStyle w:val="8"/>
              <w:keepNext w:val="0"/>
              <w:keepLines w:val="0"/>
              <w:pageBreakBefore w:val="0"/>
              <w:kinsoku/>
              <w:overflowPunct/>
              <w:topLinePunct w:val="0"/>
              <w:bidi w:val="0"/>
              <w:adjustRightInd/>
              <w:snapToGrid/>
              <w:spacing w:before="95" w:line="440" w:lineRule="exact"/>
              <w:ind w:left="8"/>
              <w:textAlignment w:val="auto"/>
              <w:rPr>
                <w:rFonts w:hint="eastAsia" w:ascii="黑体" w:hAnsi="黑体" w:eastAsia="黑体" w:cs="黑体"/>
                <w:sz w:val="28"/>
              </w:rPr>
            </w:pPr>
            <w:r>
              <w:rPr>
                <w:rFonts w:hint="eastAsia" w:ascii="黑体" w:hAnsi="黑体" w:eastAsia="黑体" w:cs="黑体"/>
                <w:spacing w:val="-4"/>
                <w:sz w:val="28"/>
              </w:rPr>
              <w:t>学习内容</w:t>
            </w:r>
          </w:p>
        </w:tc>
        <w:tc>
          <w:tcPr>
            <w:tcW w:w="1465" w:type="dxa"/>
          </w:tcPr>
          <w:p w14:paraId="73AAA5F8">
            <w:pPr>
              <w:pStyle w:val="8"/>
              <w:keepNext w:val="0"/>
              <w:keepLines w:val="0"/>
              <w:pageBreakBefore w:val="0"/>
              <w:kinsoku/>
              <w:overflowPunct/>
              <w:topLinePunct w:val="0"/>
              <w:bidi w:val="0"/>
              <w:adjustRightInd/>
              <w:snapToGrid/>
              <w:spacing w:before="95" w:line="440" w:lineRule="exact"/>
              <w:ind w:left="11"/>
              <w:textAlignment w:val="auto"/>
              <w:rPr>
                <w:rFonts w:hint="eastAsia" w:ascii="黑体" w:hAnsi="黑体" w:eastAsia="黑体" w:cs="黑体"/>
                <w:sz w:val="28"/>
              </w:rPr>
            </w:pPr>
            <w:r>
              <w:rPr>
                <w:rFonts w:hint="eastAsia" w:ascii="黑体" w:hAnsi="黑体" w:eastAsia="黑体" w:cs="黑体"/>
                <w:spacing w:val="-6"/>
                <w:sz w:val="28"/>
              </w:rPr>
              <w:t>备注</w:t>
            </w:r>
          </w:p>
        </w:tc>
      </w:tr>
      <w:tr w14:paraId="40DB1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901" w:type="dxa"/>
          </w:tcPr>
          <w:p w14:paraId="03DDCF32">
            <w:pPr>
              <w:pStyle w:val="8"/>
              <w:keepNext w:val="0"/>
              <w:keepLines w:val="0"/>
              <w:pageBreakBefore w:val="0"/>
              <w:kinsoku/>
              <w:overflowPunct/>
              <w:topLinePunct w:val="0"/>
              <w:bidi w:val="0"/>
              <w:adjustRightInd/>
              <w:snapToGrid/>
              <w:spacing w:before="216" w:line="440" w:lineRule="exact"/>
              <w:ind w:left="0"/>
              <w:jc w:val="left"/>
              <w:textAlignment w:val="auto"/>
              <w:rPr>
                <w:rFonts w:hint="default" w:ascii="Times New Roman" w:hAnsi="Times New Roman" w:eastAsia="仿宋" w:cs="Times New Roman"/>
                <w:sz w:val="28"/>
              </w:rPr>
            </w:pPr>
          </w:p>
          <w:p w14:paraId="2183746F">
            <w:pPr>
              <w:pStyle w:val="8"/>
              <w:keepNext w:val="0"/>
              <w:keepLines w:val="0"/>
              <w:pageBreakBefore w:val="0"/>
              <w:kinsoku/>
              <w:overflowPunct/>
              <w:topLinePunct w:val="0"/>
              <w:bidi w:val="0"/>
              <w:adjustRightInd/>
              <w:snapToGrid/>
              <w:spacing w:line="440" w:lineRule="exact"/>
              <w:ind w:left="9"/>
              <w:textAlignment w:val="auto"/>
              <w:rPr>
                <w:rFonts w:hint="default" w:ascii="Times New Roman" w:hAnsi="Times New Roman" w:eastAsia="仿宋" w:cs="Times New Roman"/>
                <w:sz w:val="28"/>
              </w:rPr>
            </w:pPr>
            <w:r>
              <w:rPr>
                <w:rFonts w:hint="default" w:ascii="Times New Roman" w:hAnsi="Times New Roman" w:eastAsia="仿宋" w:cs="Times New Roman"/>
                <w:spacing w:val="-10"/>
                <w:sz w:val="28"/>
              </w:rPr>
              <w:t>1</w:t>
            </w:r>
          </w:p>
        </w:tc>
        <w:tc>
          <w:tcPr>
            <w:tcW w:w="7655" w:type="dxa"/>
          </w:tcPr>
          <w:p w14:paraId="48FDF908">
            <w:pPr>
              <w:pStyle w:val="8"/>
              <w:keepNext w:val="0"/>
              <w:keepLines w:val="0"/>
              <w:pageBreakBefore w:val="0"/>
              <w:kinsoku/>
              <w:overflowPunct/>
              <w:topLinePunct w:val="0"/>
              <w:bidi w:val="0"/>
              <w:adjustRightInd/>
              <w:snapToGrid/>
              <w:spacing w:before="26" w:line="440" w:lineRule="exact"/>
              <w:jc w:val="left"/>
              <w:textAlignment w:val="auto"/>
              <w:rPr>
                <w:rFonts w:hint="eastAsia" w:ascii="仿宋" w:hAnsi="仿宋" w:eastAsia="仿宋" w:cs="仿宋"/>
                <w:sz w:val="28"/>
              </w:rPr>
            </w:pPr>
            <w:r>
              <w:rPr>
                <w:rFonts w:hint="eastAsia" w:ascii="仿宋" w:hAnsi="仿宋" w:eastAsia="仿宋" w:cs="仿宋"/>
                <w:spacing w:val="-10"/>
                <w:sz w:val="28"/>
              </w:rPr>
              <w:t>二十届三中全会精神</w:t>
            </w:r>
          </w:p>
          <w:p w14:paraId="294D6CC0">
            <w:pPr>
              <w:pStyle w:val="8"/>
              <w:keepNext w:val="0"/>
              <w:keepLines w:val="0"/>
              <w:pageBreakBefore w:val="0"/>
              <w:kinsoku/>
              <w:overflowPunct/>
              <w:topLinePunct w:val="0"/>
              <w:bidi w:val="0"/>
              <w:adjustRightInd/>
              <w:snapToGrid/>
              <w:spacing w:before="1" w:line="440" w:lineRule="exact"/>
              <w:jc w:val="left"/>
              <w:textAlignment w:val="auto"/>
              <w:rPr>
                <w:rFonts w:hint="eastAsia" w:ascii="仿宋" w:hAnsi="仿宋" w:eastAsia="仿宋" w:cs="仿宋"/>
                <w:sz w:val="28"/>
              </w:rPr>
            </w:pPr>
            <w:r>
              <w:rPr>
                <w:rFonts w:hint="eastAsia" w:ascii="仿宋" w:hAnsi="仿宋" w:eastAsia="仿宋" w:cs="仿宋"/>
                <w:spacing w:val="-3"/>
                <w:sz w:val="28"/>
              </w:rPr>
              <w:t>中共中央关于进一步全面深化改革 推进中国式现代化的决定</w:t>
            </w:r>
          </w:p>
          <w:p w14:paraId="4F47F7A4">
            <w:pPr>
              <w:pStyle w:val="8"/>
              <w:keepNext w:val="0"/>
              <w:keepLines w:val="0"/>
              <w:pageBreakBefore w:val="0"/>
              <w:kinsoku/>
              <w:overflowPunct/>
              <w:topLinePunct w:val="0"/>
              <w:bidi w:val="0"/>
              <w:adjustRightInd/>
              <w:snapToGrid/>
              <w:spacing w:before="2" w:line="440" w:lineRule="exact"/>
              <w:jc w:val="left"/>
              <w:textAlignment w:val="auto"/>
              <w:rPr>
                <w:rFonts w:hint="eastAsia" w:ascii="仿宋" w:hAnsi="仿宋" w:eastAsia="仿宋" w:cs="仿宋"/>
                <w:sz w:val="28"/>
              </w:rPr>
            </w:pPr>
            <w:r>
              <w:rPr>
                <w:rFonts w:hint="eastAsia" w:ascii="仿宋" w:hAnsi="仿宋" w:eastAsia="仿宋" w:cs="仿宋"/>
                <w:spacing w:val="-10"/>
                <w:sz w:val="28"/>
              </w:rPr>
              <w:t>（单行本）-发放到全体党员</w:t>
            </w:r>
          </w:p>
          <w:p w14:paraId="245E6458">
            <w:pPr>
              <w:pStyle w:val="8"/>
              <w:keepNext w:val="0"/>
              <w:keepLines w:val="0"/>
              <w:pageBreakBefore w:val="0"/>
              <w:kinsoku/>
              <w:overflowPunct/>
              <w:topLinePunct w:val="0"/>
              <w:bidi w:val="0"/>
              <w:adjustRightInd/>
              <w:snapToGrid/>
              <w:spacing w:before="1" w:line="440" w:lineRule="exact"/>
              <w:jc w:val="left"/>
              <w:textAlignment w:val="auto"/>
              <w:rPr>
                <w:rFonts w:hint="eastAsia" w:ascii="仿宋" w:hAnsi="仿宋" w:eastAsia="仿宋" w:cs="仿宋"/>
                <w:sz w:val="28"/>
              </w:rPr>
            </w:pPr>
            <w:r>
              <w:rPr>
                <w:rFonts w:hint="eastAsia" w:ascii="仿宋" w:hAnsi="仿宋" w:eastAsia="仿宋" w:cs="仿宋"/>
                <w:spacing w:val="-10"/>
                <w:sz w:val="28"/>
              </w:rPr>
              <w:t>党的二十届三中全会《决定》学习辅导百问-发放到全体党支部</w:t>
            </w:r>
          </w:p>
        </w:tc>
        <w:tc>
          <w:tcPr>
            <w:tcW w:w="1465" w:type="dxa"/>
          </w:tcPr>
          <w:p w14:paraId="259464F1">
            <w:pPr>
              <w:pStyle w:val="8"/>
              <w:keepNext w:val="0"/>
              <w:keepLines w:val="0"/>
              <w:pageBreakBefore w:val="0"/>
              <w:kinsoku/>
              <w:overflowPunct/>
              <w:topLinePunct w:val="0"/>
              <w:bidi w:val="0"/>
              <w:adjustRightInd/>
              <w:snapToGrid/>
              <w:spacing w:before="27" w:line="440" w:lineRule="exact"/>
              <w:ind w:left="0"/>
              <w:jc w:val="left"/>
              <w:textAlignment w:val="auto"/>
              <w:rPr>
                <w:rFonts w:hint="eastAsia" w:ascii="仿宋" w:hAnsi="仿宋" w:eastAsia="仿宋" w:cs="仿宋"/>
                <w:sz w:val="28"/>
              </w:rPr>
            </w:pPr>
          </w:p>
          <w:p w14:paraId="7DEF4F80">
            <w:pPr>
              <w:pStyle w:val="8"/>
              <w:keepNext w:val="0"/>
              <w:keepLines w:val="0"/>
              <w:pageBreakBefore w:val="0"/>
              <w:kinsoku/>
              <w:overflowPunct/>
              <w:topLinePunct w:val="0"/>
              <w:bidi w:val="0"/>
              <w:adjustRightInd/>
              <w:snapToGrid/>
              <w:spacing w:line="440" w:lineRule="exact"/>
              <w:ind w:left="310" w:right="160" w:hanging="140"/>
              <w:jc w:val="left"/>
              <w:textAlignment w:val="auto"/>
              <w:rPr>
                <w:rFonts w:hint="eastAsia" w:ascii="仿宋" w:hAnsi="仿宋" w:eastAsia="仿宋" w:cs="仿宋"/>
                <w:sz w:val="28"/>
              </w:rPr>
            </w:pPr>
            <w:r>
              <w:rPr>
                <w:rFonts w:hint="eastAsia" w:ascii="仿宋" w:hAnsi="仿宋" w:eastAsia="仿宋" w:cs="仿宋"/>
                <w:spacing w:val="-4"/>
                <w:sz w:val="28"/>
              </w:rPr>
              <w:t>学习资料已发放</w:t>
            </w:r>
          </w:p>
        </w:tc>
      </w:tr>
      <w:tr w14:paraId="407A6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901" w:type="dxa"/>
          </w:tcPr>
          <w:p w14:paraId="11B6E023">
            <w:pPr>
              <w:pStyle w:val="8"/>
              <w:keepNext w:val="0"/>
              <w:keepLines w:val="0"/>
              <w:pageBreakBefore w:val="0"/>
              <w:kinsoku/>
              <w:overflowPunct/>
              <w:topLinePunct w:val="0"/>
              <w:bidi w:val="0"/>
              <w:adjustRightInd/>
              <w:snapToGrid/>
              <w:spacing w:before="236" w:line="440" w:lineRule="exact"/>
              <w:ind w:left="9"/>
              <w:textAlignment w:val="auto"/>
              <w:rPr>
                <w:rFonts w:hint="default" w:ascii="Times New Roman" w:hAnsi="Times New Roman" w:eastAsia="仿宋" w:cs="Times New Roman"/>
                <w:sz w:val="28"/>
              </w:rPr>
            </w:pPr>
            <w:r>
              <w:rPr>
                <w:rFonts w:hint="default" w:ascii="Times New Roman" w:hAnsi="Times New Roman" w:eastAsia="仿宋" w:cs="Times New Roman"/>
                <w:spacing w:val="-10"/>
                <w:sz w:val="28"/>
              </w:rPr>
              <w:t>2</w:t>
            </w:r>
          </w:p>
        </w:tc>
        <w:tc>
          <w:tcPr>
            <w:tcW w:w="7655" w:type="dxa"/>
          </w:tcPr>
          <w:p w14:paraId="3BD97F04">
            <w:pPr>
              <w:pStyle w:val="8"/>
              <w:keepNext w:val="0"/>
              <w:keepLines w:val="0"/>
              <w:pageBreakBefore w:val="0"/>
              <w:kinsoku/>
              <w:overflowPunct/>
              <w:topLinePunct w:val="0"/>
              <w:bidi w:val="0"/>
              <w:adjustRightInd/>
              <w:snapToGrid/>
              <w:spacing w:before="47" w:line="440" w:lineRule="exact"/>
              <w:ind w:right="87"/>
              <w:jc w:val="left"/>
              <w:textAlignment w:val="auto"/>
              <w:rPr>
                <w:rFonts w:hint="eastAsia" w:ascii="仿宋" w:hAnsi="仿宋" w:eastAsia="仿宋" w:cs="仿宋"/>
                <w:sz w:val="28"/>
              </w:rPr>
            </w:pPr>
            <w:r>
              <w:rPr>
                <w:rFonts w:hint="eastAsia" w:ascii="仿宋" w:hAnsi="仿宋" w:eastAsia="仿宋" w:cs="仿宋"/>
                <w:spacing w:val="-6"/>
                <w:sz w:val="28"/>
              </w:rPr>
              <w:t>习近平总书记在省部级主要领导干部学习贯彻党的二十届三中</w:t>
            </w:r>
            <w:r>
              <w:rPr>
                <w:rFonts w:hint="eastAsia" w:ascii="仿宋" w:hAnsi="仿宋" w:eastAsia="仿宋" w:cs="仿宋"/>
                <w:spacing w:val="-2"/>
                <w:sz w:val="28"/>
              </w:rPr>
              <w:t>全会精神专题研讨班开班式上的重要讲话</w:t>
            </w:r>
          </w:p>
        </w:tc>
        <w:tc>
          <w:tcPr>
            <w:tcW w:w="1465" w:type="dxa"/>
          </w:tcPr>
          <w:p w14:paraId="407494EF">
            <w:pPr>
              <w:pStyle w:val="8"/>
              <w:keepNext w:val="0"/>
              <w:keepLines w:val="0"/>
              <w:pageBreakBefore w:val="0"/>
              <w:kinsoku/>
              <w:overflowPunct/>
              <w:topLinePunct w:val="0"/>
              <w:bidi w:val="0"/>
              <w:adjustRightInd/>
              <w:snapToGrid/>
              <w:spacing w:before="227" w:line="440" w:lineRule="exact"/>
              <w:ind w:left="11" w:right="2"/>
              <w:textAlignment w:val="auto"/>
              <w:rPr>
                <w:rFonts w:hint="eastAsia" w:ascii="仿宋" w:hAnsi="仿宋" w:eastAsia="仿宋" w:cs="仿宋"/>
                <w:sz w:val="28"/>
              </w:rPr>
            </w:pPr>
            <w:r>
              <w:rPr>
                <w:rFonts w:hint="eastAsia" w:ascii="仿宋" w:hAnsi="仿宋" w:eastAsia="仿宋" w:cs="仿宋"/>
                <w:spacing w:val="-25"/>
                <w:sz w:val="28"/>
              </w:rPr>
              <w:t xml:space="preserve">附件 </w:t>
            </w:r>
            <w:r>
              <w:rPr>
                <w:rFonts w:hint="default" w:ascii="Times New Roman" w:hAnsi="Times New Roman" w:eastAsia="仿宋" w:cs="Times New Roman"/>
                <w:spacing w:val="-12"/>
                <w:sz w:val="28"/>
              </w:rPr>
              <w:t>1</w:t>
            </w:r>
          </w:p>
        </w:tc>
      </w:tr>
      <w:tr w14:paraId="31CAB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01" w:type="dxa"/>
          </w:tcPr>
          <w:p w14:paraId="7B125CB7">
            <w:pPr>
              <w:pStyle w:val="8"/>
              <w:keepNext w:val="0"/>
              <w:keepLines w:val="0"/>
              <w:pageBreakBefore w:val="0"/>
              <w:kinsoku/>
              <w:overflowPunct/>
              <w:topLinePunct w:val="0"/>
              <w:bidi w:val="0"/>
              <w:adjustRightInd/>
              <w:snapToGrid/>
              <w:spacing w:before="149" w:line="440" w:lineRule="exact"/>
              <w:ind w:left="9"/>
              <w:textAlignment w:val="auto"/>
              <w:rPr>
                <w:rFonts w:hint="default" w:ascii="Times New Roman" w:hAnsi="Times New Roman" w:eastAsia="仿宋" w:cs="Times New Roman"/>
                <w:sz w:val="28"/>
              </w:rPr>
            </w:pPr>
            <w:r>
              <w:rPr>
                <w:rFonts w:hint="default" w:ascii="Times New Roman" w:hAnsi="Times New Roman" w:eastAsia="仿宋" w:cs="Times New Roman"/>
                <w:spacing w:val="-10"/>
                <w:sz w:val="28"/>
              </w:rPr>
              <w:t>3</w:t>
            </w:r>
          </w:p>
        </w:tc>
        <w:tc>
          <w:tcPr>
            <w:tcW w:w="7655" w:type="dxa"/>
          </w:tcPr>
          <w:p w14:paraId="1AF33838">
            <w:pPr>
              <w:pStyle w:val="8"/>
              <w:keepNext w:val="0"/>
              <w:keepLines w:val="0"/>
              <w:pageBreakBefore w:val="0"/>
              <w:kinsoku/>
              <w:overflowPunct/>
              <w:topLinePunct w:val="0"/>
              <w:bidi w:val="0"/>
              <w:adjustRightInd/>
              <w:snapToGrid/>
              <w:spacing w:before="140" w:line="440" w:lineRule="exact"/>
              <w:jc w:val="left"/>
              <w:textAlignment w:val="auto"/>
              <w:rPr>
                <w:rFonts w:hint="eastAsia" w:ascii="仿宋" w:hAnsi="仿宋" w:eastAsia="仿宋" w:cs="仿宋"/>
                <w:sz w:val="28"/>
              </w:rPr>
            </w:pPr>
            <w:r>
              <w:rPr>
                <w:rFonts w:hint="eastAsia" w:ascii="仿宋" w:hAnsi="仿宋" w:eastAsia="仿宋" w:cs="仿宋"/>
                <w:spacing w:val="-10"/>
                <w:sz w:val="28"/>
              </w:rPr>
              <w:t>习近平总书记给中国国际大学生创新大赛参赛学生代表的回信</w:t>
            </w:r>
          </w:p>
        </w:tc>
        <w:tc>
          <w:tcPr>
            <w:tcW w:w="1465" w:type="dxa"/>
          </w:tcPr>
          <w:p w14:paraId="659C6B96">
            <w:pPr>
              <w:pStyle w:val="8"/>
              <w:keepNext w:val="0"/>
              <w:keepLines w:val="0"/>
              <w:pageBreakBefore w:val="0"/>
              <w:kinsoku/>
              <w:overflowPunct/>
              <w:topLinePunct w:val="0"/>
              <w:bidi w:val="0"/>
              <w:adjustRightInd/>
              <w:snapToGrid/>
              <w:spacing w:before="133" w:line="440" w:lineRule="exact"/>
              <w:ind w:left="11" w:right="2"/>
              <w:textAlignment w:val="auto"/>
              <w:rPr>
                <w:rFonts w:hint="eastAsia" w:ascii="仿宋" w:hAnsi="仿宋" w:eastAsia="仿宋" w:cs="仿宋"/>
                <w:sz w:val="28"/>
              </w:rPr>
            </w:pPr>
            <w:r>
              <w:rPr>
                <w:rFonts w:hint="eastAsia" w:ascii="仿宋" w:hAnsi="仿宋" w:eastAsia="仿宋" w:cs="仿宋"/>
                <w:spacing w:val="-25"/>
                <w:sz w:val="28"/>
              </w:rPr>
              <w:t xml:space="preserve">附件 </w:t>
            </w:r>
            <w:r>
              <w:rPr>
                <w:rFonts w:hint="default" w:ascii="Times New Roman" w:hAnsi="Times New Roman" w:eastAsia="仿宋" w:cs="Times New Roman"/>
                <w:spacing w:val="-12"/>
                <w:sz w:val="28"/>
              </w:rPr>
              <w:t>2</w:t>
            </w:r>
          </w:p>
        </w:tc>
      </w:tr>
      <w:tr w14:paraId="41C74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1" w:type="dxa"/>
          </w:tcPr>
          <w:p w14:paraId="45EA72CD">
            <w:pPr>
              <w:pStyle w:val="8"/>
              <w:keepNext w:val="0"/>
              <w:keepLines w:val="0"/>
              <w:pageBreakBefore w:val="0"/>
              <w:kinsoku/>
              <w:overflowPunct/>
              <w:topLinePunct w:val="0"/>
              <w:bidi w:val="0"/>
              <w:adjustRightInd/>
              <w:snapToGrid/>
              <w:spacing w:before="151" w:line="440" w:lineRule="exact"/>
              <w:ind w:left="9"/>
              <w:textAlignment w:val="auto"/>
              <w:rPr>
                <w:rFonts w:hint="default" w:ascii="Times New Roman" w:hAnsi="Times New Roman" w:eastAsia="仿宋" w:cs="Times New Roman"/>
                <w:sz w:val="28"/>
              </w:rPr>
            </w:pPr>
            <w:r>
              <w:rPr>
                <w:rFonts w:hint="default" w:ascii="Times New Roman" w:hAnsi="Times New Roman" w:eastAsia="仿宋" w:cs="Times New Roman"/>
                <w:spacing w:val="-10"/>
                <w:sz w:val="28"/>
              </w:rPr>
              <w:t>4</w:t>
            </w:r>
          </w:p>
        </w:tc>
        <w:tc>
          <w:tcPr>
            <w:tcW w:w="7655" w:type="dxa"/>
          </w:tcPr>
          <w:p w14:paraId="76052C5F">
            <w:pPr>
              <w:pStyle w:val="8"/>
              <w:keepNext w:val="0"/>
              <w:keepLines w:val="0"/>
              <w:pageBreakBefore w:val="0"/>
              <w:kinsoku/>
              <w:overflowPunct/>
              <w:topLinePunct w:val="0"/>
              <w:bidi w:val="0"/>
              <w:adjustRightInd/>
              <w:snapToGrid/>
              <w:spacing w:before="140" w:line="440" w:lineRule="exact"/>
              <w:jc w:val="left"/>
              <w:textAlignment w:val="auto"/>
              <w:rPr>
                <w:rFonts w:hint="eastAsia" w:ascii="仿宋" w:hAnsi="仿宋" w:eastAsia="仿宋" w:cs="仿宋"/>
                <w:sz w:val="28"/>
              </w:rPr>
            </w:pPr>
            <w:r>
              <w:rPr>
                <w:rFonts w:hint="eastAsia" w:ascii="仿宋" w:hAnsi="仿宋" w:eastAsia="仿宋" w:cs="仿宋"/>
                <w:spacing w:val="-10"/>
                <w:sz w:val="28"/>
              </w:rPr>
              <w:t>习近平总书记给中国海洋大学全体师生的回信</w:t>
            </w:r>
          </w:p>
        </w:tc>
        <w:tc>
          <w:tcPr>
            <w:tcW w:w="1465" w:type="dxa"/>
          </w:tcPr>
          <w:p w14:paraId="4A549D89">
            <w:pPr>
              <w:pStyle w:val="8"/>
              <w:keepNext w:val="0"/>
              <w:keepLines w:val="0"/>
              <w:pageBreakBefore w:val="0"/>
              <w:kinsoku/>
              <w:overflowPunct/>
              <w:topLinePunct w:val="0"/>
              <w:bidi w:val="0"/>
              <w:adjustRightInd/>
              <w:snapToGrid/>
              <w:spacing w:before="140" w:line="440" w:lineRule="exact"/>
              <w:ind w:left="11" w:right="2"/>
              <w:textAlignment w:val="auto"/>
              <w:rPr>
                <w:rFonts w:hint="eastAsia" w:ascii="仿宋" w:hAnsi="仿宋" w:eastAsia="仿宋" w:cs="仿宋"/>
                <w:sz w:val="28"/>
              </w:rPr>
            </w:pPr>
            <w:r>
              <w:rPr>
                <w:rFonts w:hint="eastAsia" w:ascii="仿宋" w:hAnsi="仿宋" w:eastAsia="仿宋" w:cs="仿宋"/>
                <w:spacing w:val="-25"/>
                <w:sz w:val="28"/>
              </w:rPr>
              <w:t xml:space="preserve">附件 </w:t>
            </w:r>
            <w:r>
              <w:rPr>
                <w:rFonts w:hint="default" w:ascii="Times New Roman" w:hAnsi="Times New Roman" w:eastAsia="仿宋" w:cs="Times New Roman"/>
                <w:spacing w:val="-12"/>
                <w:sz w:val="28"/>
              </w:rPr>
              <w:t>3</w:t>
            </w:r>
          </w:p>
        </w:tc>
      </w:tr>
      <w:tr w14:paraId="1CDCA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901" w:type="dxa"/>
          </w:tcPr>
          <w:p w14:paraId="25DA9DC3">
            <w:pPr>
              <w:pStyle w:val="8"/>
              <w:keepNext w:val="0"/>
              <w:keepLines w:val="0"/>
              <w:pageBreakBefore w:val="0"/>
              <w:kinsoku/>
              <w:overflowPunct/>
              <w:topLinePunct w:val="0"/>
              <w:bidi w:val="0"/>
              <w:adjustRightInd/>
              <w:snapToGrid/>
              <w:spacing w:before="109" w:line="440" w:lineRule="exact"/>
              <w:ind w:left="0"/>
              <w:jc w:val="left"/>
              <w:textAlignment w:val="auto"/>
              <w:rPr>
                <w:rFonts w:hint="default" w:ascii="Times New Roman" w:hAnsi="Times New Roman" w:eastAsia="仿宋" w:cs="Times New Roman"/>
                <w:sz w:val="28"/>
              </w:rPr>
            </w:pPr>
          </w:p>
          <w:p w14:paraId="2F8C287E">
            <w:pPr>
              <w:pStyle w:val="8"/>
              <w:keepNext w:val="0"/>
              <w:keepLines w:val="0"/>
              <w:pageBreakBefore w:val="0"/>
              <w:kinsoku/>
              <w:overflowPunct/>
              <w:topLinePunct w:val="0"/>
              <w:bidi w:val="0"/>
              <w:adjustRightInd/>
              <w:snapToGrid/>
              <w:spacing w:line="440" w:lineRule="exact"/>
              <w:ind w:left="9"/>
              <w:textAlignment w:val="auto"/>
              <w:rPr>
                <w:rFonts w:hint="default" w:ascii="Times New Roman" w:hAnsi="Times New Roman" w:eastAsia="仿宋" w:cs="Times New Roman"/>
                <w:sz w:val="28"/>
              </w:rPr>
            </w:pPr>
            <w:r>
              <w:rPr>
                <w:rFonts w:hint="default" w:ascii="Times New Roman" w:hAnsi="Times New Roman" w:eastAsia="仿宋" w:cs="Times New Roman"/>
                <w:spacing w:val="-10"/>
                <w:sz w:val="28"/>
              </w:rPr>
              <w:t>5</w:t>
            </w:r>
          </w:p>
        </w:tc>
        <w:tc>
          <w:tcPr>
            <w:tcW w:w="7655" w:type="dxa"/>
          </w:tcPr>
          <w:p w14:paraId="3881FF8D">
            <w:pPr>
              <w:pStyle w:val="8"/>
              <w:keepNext w:val="0"/>
              <w:keepLines w:val="0"/>
              <w:pageBreakBefore w:val="0"/>
              <w:kinsoku/>
              <w:overflowPunct/>
              <w:topLinePunct w:val="0"/>
              <w:bidi w:val="0"/>
              <w:adjustRightInd/>
              <w:snapToGrid/>
              <w:spacing w:before="99" w:line="440" w:lineRule="exact"/>
              <w:ind w:right="85"/>
              <w:jc w:val="both"/>
              <w:textAlignment w:val="auto"/>
              <w:rPr>
                <w:rFonts w:hint="eastAsia" w:ascii="仿宋" w:hAnsi="仿宋" w:eastAsia="仿宋" w:cs="仿宋"/>
                <w:sz w:val="28"/>
              </w:rPr>
            </w:pPr>
            <w:r>
              <w:rPr>
                <w:rFonts w:hint="eastAsia" w:ascii="仿宋" w:hAnsi="仿宋" w:eastAsia="仿宋" w:cs="仿宋"/>
                <w:spacing w:val="-6"/>
                <w:sz w:val="28"/>
              </w:rPr>
              <w:t>习近平：促进高质量充分就业（习近平总书记在二十届中央政治局第十四次集体学习时讲话的主要部分</w:t>
            </w:r>
            <w:r>
              <w:rPr>
                <w:rFonts w:hint="default" w:ascii="Times New Roman" w:hAnsi="Times New Roman" w:eastAsia="仿宋" w:cs="Times New Roman"/>
                <w:spacing w:val="-4"/>
                <w:sz w:val="28"/>
              </w:rPr>
              <w:t>2024</w:t>
            </w:r>
            <w:r>
              <w:rPr>
                <w:rFonts w:hint="eastAsia" w:ascii="仿宋" w:hAnsi="仿宋" w:eastAsia="仿宋" w:cs="仿宋"/>
                <w:spacing w:val="-4"/>
                <w:sz w:val="28"/>
              </w:rPr>
              <w:t>年</w:t>
            </w:r>
            <w:r>
              <w:rPr>
                <w:rFonts w:hint="default" w:ascii="Times New Roman" w:hAnsi="Times New Roman" w:eastAsia="仿宋" w:cs="Times New Roman"/>
                <w:spacing w:val="-4"/>
                <w:sz w:val="28"/>
              </w:rPr>
              <w:t>11</w:t>
            </w:r>
            <w:r>
              <w:rPr>
                <w:rFonts w:hint="eastAsia" w:ascii="仿宋" w:hAnsi="仿宋" w:eastAsia="仿宋" w:cs="仿宋"/>
                <w:spacing w:val="-4"/>
                <w:sz w:val="28"/>
              </w:rPr>
              <w:t>月</w:t>
            </w:r>
            <w:r>
              <w:rPr>
                <w:rFonts w:hint="default" w:ascii="Times New Roman" w:hAnsi="Times New Roman" w:eastAsia="仿宋" w:cs="Times New Roman"/>
                <w:spacing w:val="-4"/>
                <w:sz w:val="28"/>
              </w:rPr>
              <w:t>1</w:t>
            </w:r>
            <w:r>
              <w:rPr>
                <w:rFonts w:hint="eastAsia" w:ascii="仿宋" w:hAnsi="仿宋" w:eastAsia="仿宋" w:cs="仿宋"/>
                <w:spacing w:val="-52"/>
                <w:sz w:val="28"/>
              </w:rPr>
              <w:t>日《求</w:t>
            </w:r>
            <w:r>
              <w:rPr>
                <w:rFonts w:hint="eastAsia" w:ascii="仿宋" w:hAnsi="仿宋" w:eastAsia="仿宋" w:cs="仿宋"/>
                <w:spacing w:val="-2"/>
                <w:sz w:val="28"/>
              </w:rPr>
              <w:t>是》杂志刊文）</w:t>
            </w:r>
          </w:p>
        </w:tc>
        <w:tc>
          <w:tcPr>
            <w:tcW w:w="1465" w:type="dxa"/>
          </w:tcPr>
          <w:p w14:paraId="74DFA4D6">
            <w:pPr>
              <w:pStyle w:val="8"/>
              <w:keepNext w:val="0"/>
              <w:keepLines w:val="0"/>
              <w:pageBreakBefore w:val="0"/>
              <w:kinsoku/>
              <w:overflowPunct/>
              <w:topLinePunct w:val="0"/>
              <w:bidi w:val="0"/>
              <w:adjustRightInd/>
              <w:snapToGrid/>
              <w:spacing w:before="100" w:line="440" w:lineRule="exact"/>
              <w:ind w:left="0"/>
              <w:jc w:val="left"/>
              <w:textAlignment w:val="auto"/>
              <w:rPr>
                <w:rFonts w:hint="eastAsia" w:ascii="仿宋" w:hAnsi="仿宋" w:eastAsia="仿宋" w:cs="仿宋"/>
                <w:sz w:val="28"/>
              </w:rPr>
            </w:pPr>
          </w:p>
          <w:p w14:paraId="273A7200">
            <w:pPr>
              <w:pStyle w:val="8"/>
              <w:keepNext w:val="0"/>
              <w:keepLines w:val="0"/>
              <w:pageBreakBefore w:val="0"/>
              <w:kinsoku/>
              <w:overflowPunct/>
              <w:topLinePunct w:val="0"/>
              <w:bidi w:val="0"/>
              <w:adjustRightInd/>
              <w:snapToGrid/>
              <w:spacing w:line="440" w:lineRule="exact"/>
              <w:ind w:left="11" w:right="2"/>
              <w:textAlignment w:val="auto"/>
              <w:rPr>
                <w:rFonts w:hint="eastAsia" w:ascii="仿宋" w:hAnsi="仿宋" w:eastAsia="仿宋" w:cs="仿宋"/>
                <w:sz w:val="28"/>
              </w:rPr>
            </w:pPr>
            <w:r>
              <w:rPr>
                <w:rFonts w:hint="eastAsia" w:ascii="仿宋" w:hAnsi="仿宋" w:eastAsia="仿宋" w:cs="仿宋"/>
                <w:spacing w:val="-25"/>
                <w:sz w:val="28"/>
              </w:rPr>
              <w:t xml:space="preserve">附件 </w:t>
            </w:r>
            <w:r>
              <w:rPr>
                <w:rFonts w:hint="default" w:ascii="Times New Roman" w:hAnsi="Times New Roman" w:eastAsia="仿宋" w:cs="Times New Roman"/>
                <w:spacing w:val="-12"/>
                <w:sz w:val="28"/>
              </w:rPr>
              <w:t>4</w:t>
            </w:r>
          </w:p>
        </w:tc>
      </w:tr>
      <w:tr w14:paraId="76B61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901" w:type="dxa"/>
          </w:tcPr>
          <w:p w14:paraId="70E87014">
            <w:pPr>
              <w:pStyle w:val="8"/>
              <w:keepNext w:val="0"/>
              <w:keepLines w:val="0"/>
              <w:pageBreakBefore w:val="0"/>
              <w:kinsoku/>
              <w:overflowPunct/>
              <w:topLinePunct w:val="0"/>
              <w:bidi w:val="0"/>
              <w:adjustRightInd/>
              <w:snapToGrid/>
              <w:spacing w:before="109" w:line="440" w:lineRule="exact"/>
              <w:ind w:left="0"/>
              <w:jc w:val="left"/>
              <w:textAlignment w:val="auto"/>
              <w:rPr>
                <w:rFonts w:hint="default" w:ascii="Times New Roman" w:hAnsi="Times New Roman" w:eastAsia="仿宋" w:cs="Times New Roman"/>
                <w:sz w:val="28"/>
              </w:rPr>
            </w:pPr>
          </w:p>
          <w:p w14:paraId="34733282">
            <w:pPr>
              <w:pStyle w:val="8"/>
              <w:keepNext w:val="0"/>
              <w:keepLines w:val="0"/>
              <w:pageBreakBefore w:val="0"/>
              <w:kinsoku/>
              <w:overflowPunct/>
              <w:topLinePunct w:val="0"/>
              <w:bidi w:val="0"/>
              <w:adjustRightInd/>
              <w:snapToGrid/>
              <w:spacing w:line="440" w:lineRule="exact"/>
              <w:ind w:left="9"/>
              <w:textAlignment w:val="auto"/>
              <w:rPr>
                <w:rFonts w:hint="default" w:ascii="Times New Roman" w:hAnsi="Times New Roman" w:eastAsia="仿宋" w:cs="Times New Roman"/>
                <w:sz w:val="28"/>
              </w:rPr>
            </w:pPr>
            <w:r>
              <w:rPr>
                <w:rFonts w:hint="default" w:ascii="Times New Roman" w:hAnsi="Times New Roman" w:eastAsia="仿宋" w:cs="Times New Roman"/>
                <w:spacing w:val="-10"/>
                <w:sz w:val="28"/>
              </w:rPr>
              <w:t>6</w:t>
            </w:r>
          </w:p>
        </w:tc>
        <w:tc>
          <w:tcPr>
            <w:tcW w:w="7655" w:type="dxa"/>
          </w:tcPr>
          <w:p w14:paraId="18E52C51">
            <w:pPr>
              <w:pStyle w:val="8"/>
              <w:keepNext w:val="0"/>
              <w:keepLines w:val="0"/>
              <w:pageBreakBefore w:val="0"/>
              <w:kinsoku/>
              <w:overflowPunct/>
              <w:topLinePunct w:val="0"/>
              <w:bidi w:val="0"/>
              <w:adjustRightInd/>
              <w:snapToGrid/>
              <w:spacing w:before="99" w:line="440" w:lineRule="exact"/>
              <w:ind w:right="87"/>
              <w:jc w:val="both"/>
              <w:textAlignment w:val="auto"/>
              <w:rPr>
                <w:rFonts w:hint="eastAsia" w:ascii="仿宋" w:hAnsi="仿宋" w:eastAsia="仿宋" w:cs="仿宋"/>
                <w:sz w:val="28"/>
              </w:rPr>
            </w:pPr>
            <w:r>
              <w:rPr>
                <w:rFonts w:hint="eastAsia" w:ascii="仿宋" w:hAnsi="仿宋" w:eastAsia="仿宋" w:cs="仿宋"/>
                <w:spacing w:val="-11"/>
                <w:sz w:val="28"/>
              </w:rPr>
              <w:t>习近平：锚定建成文化强国战略目标 不断发展新时代中国特色</w:t>
            </w:r>
            <w:r>
              <w:rPr>
                <w:rFonts w:hint="eastAsia" w:ascii="仿宋" w:hAnsi="仿宋" w:eastAsia="仿宋" w:cs="仿宋"/>
                <w:spacing w:val="-6"/>
                <w:sz w:val="28"/>
              </w:rPr>
              <w:t>社会主义文化（习近平总书记在中共中央政治局第十七次集体</w:t>
            </w:r>
            <w:r>
              <w:rPr>
                <w:rFonts w:hint="eastAsia" w:ascii="仿宋" w:hAnsi="仿宋" w:eastAsia="仿宋" w:cs="仿宋"/>
                <w:spacing w:val="-2"/>
                <w:sz w:val="28"/>
              </w:rPr>
              <w:t>学习时的重要讲话精神）</w:t>
            </w:r>
          </w:p>
        </w:tc>
        <w:tc>
          <w:tcPr>
            <w:tcW w:w="1465" w:type="dxa"/>
          </w:tcPr>
          <w:p w14:paraId="14EE0D12">
            <w:pPr>
              <w:pStyle w:val="8"/>
              <w:keepNext w:val="0"/>
              <w:keepLines w:val="0"/>
              <w:pageBreakBefore w:val="0"/>
              <w:kinsoku/>
              <w:overflowPunct/>
              <w:topLinePunct w:val="0"/>
              <w:bidi w:val="0"/>
              <w:adjustRightInd/>
              <w:snapToGrid/>
              <w:spacing w:before="100" w:line="440" w:lineRule="exact"/>
              <w:ind w:left="0"/>
              <w:jc w:val="left"/>
              <w:textAlignment w:val="auto"/>
              <w:rPr>
                <w:rFonts w:hint="eastAsia" w:ascii="仿宋" w:hAnsi="仿宋" w:eastAsia="仿宋" w:cs="仿宋"/>
                <w:sz w:val="28"/>
              </w:rPr>
            </w:pPr>
          </w:p>
          <w:p w14:paraId="5A580785">
            <w:pPr>
              <w:pStyle w:val="8"/>
              <w:keepNext w:val="0"/>
              <w:keepLines w:val="0"/>
              <w:pageBreakBefore w:val="0"/>
              <w:kinsoku/>
              <w:overflowPunct/>
              <w:topLinePunct w:val="0"/>
              <w:bidi w:val="0"/>
              <w:adjustRightInd/>
              <w:snapToGrid/>
              <w:spacing w:line="440" w:lineRule="exact"/>
              <w:ind w:left="11" w:right="2"/>
              <w:textAlignment w:val="auto"/>
              <w:rPr>
                <w:rFonts w:hint="eastAsia" w:ascii="仿宋" w:hAnsi="仿宋" w:eastAsia="仿宋" w:cs="仿宋"/>
                <w:sz w:val="28"/>
              </w:rPr>
            </w:pPr>
            <w:r>
              <w:rPr>
                <w:rFonts w:hint="eastAsia" w:ascii="仿宋" w:hAnsi="仿宋" w:eastAsia="仿宋" w:cs="仿宋"/>
                <w:spacing w:val="-25"/>
                <w:sz w:val="28"/>
              </w:rPr>
              <w:t xml:space="preserve">附件 </w:t>
            </w:r>
            <w:r>
              <w:rPr>
                <w:rFonts w:hint="default" w:ascii="Times New Roman" w:hAnsi="Times New Roman" w:eastAsia="仿宋" w:cs="Times New Roman"/>
                <w:spacing w:val="-12"/>
                <w:sz w:val="28"/>
              </w:rPr>
              <w:t>5</w:t>
            </w:r>
          </w:p>
        </w:tc>
      </w:tr>
      <w:tr w14:paraId="5F9EE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1" w:type="dxa"/>
          </w:tcPr>
          <w:p w14:paraId="427C13B5">
            <w:pPr>
              <w:pStyle w:val="8"/>
              <w:keepNext w:val="0"/>
              <w:keepLines w:val="0"/>
              <w:pageBreakBefore w:val="0"/>
              <w:kinsoku/>
              <w:overflowPunct/>
              <w:topLinePunct w:val="0"/>
              <w:bidi w:val="0"/>
              <w:adjustRightInd/>
              <w:snapToGrid/>
              <w:spacing w:before="150" w:line="440" w:lineRule="exact"/>
              <w:ind w:left="9"/>
              <w:textAlignment w:val="auto"/>
              <w:rPr>
                <w:rFonts w:hint="default" w:ascii="Times New Roman" w:hAnsi="Times New Roman" w:eastAsia="仿宋" w:cs="Times New Roman"/>
                <w:sz w:val="28"/>
              </w:rPr>
            </w:pPr>
            <w:r>
              <w:rPr>
                <w:rFonts w:hint="default" w:ascii="Times New Roman" w:hAnsi="Times New Roman" w:eastAsia="仿宋" w:cs="Times New Roman"/>
                <w:spacing w:val="-10"/>
                <w:sz w:val="28"/>
              </w:rPr>
              <w:t>7</w:t>
            </w:r>
          </w:p>
        </w:tc>
        <w:tc>
          <w:tcPr>
            <w:tcW w:w="7655" w:type="dxa"/>
          </w:tcPr>
          <w:p w14:paraId="64369726">
            <w:pPr>
              <w:pStyle w:val="8"/>
              <w:keepNext w:val="0"/>
              <w:keepLines w:val="0"/>
              <w:pageBreakBefore w:val="0"/>
              <w:kinsoku/>
              <w:overflowPunct/>
              <w:topLinePunct w:val="0"/>
              <w:bidi w:val="0"/>
              <w:adjustRightInd/>
              <w:snapToGrid/>
              <w:spacing w:before="141" w:line="440" w:lineRule="exact"/>
              <w:jc w:val="left"/>
              <w:textAlignment w:val="auto"/>
              <w:rPr>
                <w:rFonts w:hint="eastAsia" w:ascii="仿宋" w:hAnsi="仿宋" w:eastAsia="仿宋" w:cs="仿宋"/>
                <w:sz w:val="28"/>
              </w:rPr>
            </w:pPr>
            <w:r>
              <w:rPr>
                <w:rFonts w:hint="eastAsia" w:ascii="仿宋" w:hAnsi="仿宋" w:eastAsia="仿宋" w:cs="仿宋"/>
                <w:spacing w:val="-11"/>
                <w:sz w:val="28"/>
              </w:rPr>
              <w:t>关于向“时代楷模”杨士莪同志学习的决定</w:t>
            </w:r>
          </w:p>
        </w:tc>
        <w:tc>
          <w:tcPr>
            <w:tcW w:w="1465" w:type="dxa"/>
          </w:tcPr>
          <w:p w14:paraId="7E8ED5F8">
            <w:pPr>
              <w:pStyle w:val="8"/>
              <w:keepNext w:val="0"/>
              <w:keepLines w:val="0"/>
              <w:pageBreakBefore w:val="0"/>
              <w:kinsoku/>
              <w:overflowPunct/>
              <w:topLinePunct w:val="0"/>
              <w:bidi w:val="0"/>
              <w:adjustRightInd/>
              <w:snapToGrid/>
              <w:spacing w:before="132" w:line="440" w:lineRule="exact"/>
              <w:ind w:left="11" w:right="2"/>
              <w:textAlignment w:val="auto"/>
              <w:rPr>
                <w:rFonts w:hint="eastAsia" w:ascii="仿宋" w:hAnsi="仿宋" w:eastAsia="仿宋" w:cs="仿宋"/>
                <w:sz w:val="28"/>
              </w:rPr>
            </w:pPr>
            <w:r>
              <w:rPr>
                <w:rFonts w:hint="eastAsia" w:ascii="仿宋" w:hAnsi="仿宋" w:eastAsia="仿宋" w:cs="仿宋"/>
                <w:spacing w:val="-25"/>
                <w:sz w:val="28"/>
              </w:rPr>
              <w:t xml:space="preserve">附件 </w:t>
            </w:r>
            <w:r>
              <w:rPr>
                <w:rFonts w:hint="default" w:ascii="Times New Roman" w:hAnsi="Times New Roman" w:eastAsia="仿宋" w:cs="Times New Roman"/>
                <w:spacing w:val="-12"/>
                <w:sz w:val="28"/>
              </w:rPr>
              <w:t>6</w:t>
            </w:r>
          </w:p>
        </w:tc>
      </w:tr>
      <w:tr w14:paraId="78E6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01" w:type="dxa"/>
          </w:tcPr>
          <w:p w14:paraId="47671A9D">
            <w:pPr>
              <w:pStyle w:val="8"/>
              <w:keepNext w:val="0"/>
              <w:keepLines w:val="0"/>
              <w:pageBreakBefore w:val="0"/>
              <w:kinsoku/>
              <w:overflowPunct/>
              <w:topLinePunct w:val="0"/>
              <w:bidi w:val="0"/>
              <w:adjustRightInd/>
              <w:snapToGrid/>
              <w:spacing w:before="45" w:line="440" w:lineRule="exact"/>
              <w:ind w:left="0"/>
              <w:jc w:val="left"/>
              <w:textAlignment w:val="auto"/>
              <w:rPr>
                <w:rFonts w:hint="default" w:ascii="Times New Roman" w:hAnsi="Times New Roman" w:eastAsia="仿宋" w:cs="Times New Roman"/>
                <w:sz w:val="28"/>
              </w:rPr>
            </w:pPr>
          </w:p>
          <w:p w14:paraId="628D8D4A">
            <w:pPr>
              <w:pStyle w:val="8"/>
              <w:keepNext w:val="0"/>
              <w:keepLines w:val="0"/>
              <w:pageBreakBefore w:val="0"/>
              <w:kinsoku/>
              <w:overflowPunct/>
              <w:topLinePunct w:val="0"/>
              <w:bidi w:val="0"/>
              <w:adjustRightInd/>
              <w:snapToGrid/>
              <w:spacing w:before="1" w:line="440" w:lineRule="exact"/>
              <w:ind w:left="9"/>
              <w:textAlignment w:val="auto"/>
              <w:rPr>
                <w:rFonts w:hint="default" w:ascii="Times New Roman" w:hAnsi="Times New Roman" w:eastAsia="仿宋" w:cs="Times New Roman"/>
                <w:sz w:val="28"/>
              </w:rPr>
            </w:pPr>
            <w:r>
              <w:rPr>
                <w:rFonts w:hint="default" w:ascii="Times New Roman" w:hAnsi="Times New Roman" w:eastAsia="仿宋" w:cs="Times New Roman"/>
                <w:spacing w:val="-10"/>
                <w:sz w:val="28"/>
              </w:rPr>
              <w:t>8</w:t>
            </w:r>
          </w:p>
        </w:tc>
        <w:tc>
          <w:tcPr>
            <w:tcW w:w="7655" w:type="dxa"/>
          </w:tcPr>
          <w:p w14:paraId="492428F7">
            <w:pPr>
              <w:pStyle w:val="8"/>
              <w:keepNext w:val="0"/>
              <w:keepLines w:val="0"/>
              <w:pageBreakBefore w:val="0"/>
              <w:kinsoku/>
              <w:overflowPunct/>
              <w:topLinePunct w:val="0"/>
              <w:bidi w:val="0"/>
              <w:adjustRightInd/>
              <w:snapToGrid/>
              <w:spacing w:before="35" w:line="440" w:lineRule="exact"/>
              <w:ind w:right="87"/>
              <w:jc w:val="left"/>
              <w:textAlignment w:val="auto"/>
              <w:rPr>
                <w:rFonts w:hint="eastAsia" w:ascii="仿宋" w:hAnsi="仿宋" w:eastAsia="仿宋" w:cs="仿宋"/>
                <w:sz w:val="28"/>
              </w:rPr>
            </w:pPr>
            <w:r>
              <w:rPr>
                <w:rFonts w:hint="eastAsia" w:ascii="仿宋" w:hAnsi="仿宋" w:eastAsia="仿宋" w:cs="仿宋"/>
                <w:spacing w:val="-6"/>
                <w:sz w:val="28"/>
              </w:rPr>
              <w:t>科级及以下干部学习贯彻党的二十届三中全会精神专题辅导系</w:t>
            </w:r>
            <w:r>
              <w:rPr>
                <w:rFonts w:hint="eastAsia" w:ascii="仿宋" w:hAnsi="仿宋" w:eastAsia="仿宋" w:cs="仿宋"/>
                <w:spacing w:val="-4"/>
                <w:sz w:val="28"/>
              </w:rPr>
              <w:t>列课程</w:t>
            </w:r>
          </w:p>
          <w:p w14:paraId="4CA4AAF4">
            <w:pPr>
              <w:pStyle w:val="8"/>
              <w:keepNext w:val="0"/>
              <w:keepLines w:val="0"/>
              <w:pageBreakBefore w:val="0"/>
              <w:kinsoku/>
              <w:overflowPunct/>
              <w:topLinePunct w:val="0"/>
              <w:bidi w:val="0"/>
              <w:adjustRightInd/>
              <w:snapToGrid/>
              <w:spacing w:before="3" w:line="440" w:lineRule="exact"/>
              <w:jc w:val="left"/>
              <w:textAlignment w:val="auto"/>
              <w:rPr>
                <w:rFonts w:hint="eastAsia" w:ascii="仿宋" w:hAnsi="仿宋" w:eastAsia="仿宋" w:cs="仿宋"/>
                <w:sz w:val="28"/>
              </w:rPr>
            </w:pPr>
            <w:r>
              <w:rPr>
                <w:rFonts w:hint="eastAsia" w:ascii="仿宋" w:hAnsi="仿宋" w:eastAsia="仿宋" w:cs="仿宋"/>
                <w:spacing w:val="-10"/>
                <w:sz w:val="28"/>
              </w:rPr>
              <w:t>视频链接：</w:t>
            </w:r>
            <w:r>
              <w:rPr>
                <w:rFonts w:hint="default" w:ascii="Times New Roman" w:hAnsi="Times New Roman" w:eastAsia="仿宋" w:cs="Times New Roman"/>
                <w:spacing w:val="-10"/>
                <w:sz w:val="28"/>
              </w:rPr>
              <w:t>https://</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"http://www.cela.gov.cn/home/training/course/member" \h </w:instrText>
            </w:r>
            <w:r>
              <w:rPr>
                <w:rFonts w:hint="default" w:ascii="Times New Roman" w:hAnsi="Times New Roman" w:eastAsia="仿宋" w:cs="Times New Roman"/>
              </w:rPr>
              <w:fldChar w:fldCharType="separate"/>
            </w:r>
            <w:r>
              <w:rPr>
                <w:rFonts w:hint="default" w:ascii="Times New Roman" w:hAnsi="Times New Roman" w:eastAsia="仿宋" w:cs="Times New Roman"/>
                <w:spacing w:val="-10"/>
                <w:sz w:val="28"/>
              </w:rPr>
              <w:t>www.cela.gov.cn/home/training/course/member</w:t>
            </w:r>
            <w:r>
              <w:rPr>
                <w:rFonts w:hint="default" w:ascii="Times New Roman" w:hAnsi="Times New Roman" w:eastAsia="仿宋" w:cs="Times New Roman"/>
                <w:spacing w:val="-10"/>
                <w:sz w:val="28"/>
              </w:rPr>
              <w:fldChar w:fldCharType="end"/>
            </w:r>
          </w:p>
        </w:tc>
        <w:tc>
          <w:tcPr>
            <w:tcW w:w="1465" w:type="dxa"/>
          </w:tcPr>
          <w:p w14:paraId="1FEF7322">
            <w:pPr>
              <w:pStyle w:val="8"/>
              <w:keepNext w:val="0"/>
              <w:keepLines w:val="0"/>
              <w:pageBreakBefore w:val="0"/>
              <w:kinsoku/>
              <w:overflowPunct/>
              <w:topLinePunct w:val="0"/>
              <w:bidi w:val="0"/>
              <w:adjustRightInd/>
              <w:snapToGrid/>
              <w:spacing w:before="234" w:line="440" w:lineRule="exact"/>
              <w:ind w:left="11" w:right="4"/>
              <w:textAlignment w:val="auto"/>
              <w:rPr>
                <w:rFonts w:hint="eastAsia" w:ascii="仿宋" w:hAnsi="仿宋" w:eastAsia="仿宋" w:cs="仿宋"/>
                <w:sz w:val="28"/>
              </w:rPr>
            </w:pPr>
            <w:r>
              <w:rPr>
                <w:rFonts w:hint="eastAsia" w:ascii="仿宋" w:hAnsi="仿宋" w:eastAsia="仿宋" w:cs="仿宋"/>
                <w:spacing w:val="-5"/>
                <w:sz w:val="28"/>
              </w:rPr>
              <w:t>OA</w:t>
            </w:r>
          </w:p>
          <w:p w14:paraId="48062C3E">
            <w:pPr>
              <w:pStyle w:val="8"/>
              <w:keepNext w:val="0"/>
              <w:keepLines w:val="0"/>
              <w:pageBreakBefore w:val="0"/>
              <w:kinsoku/>
              <w:overflowPunct/>
              <w:topLinePunct w:val="0"/>
              <w:bidi w:val="0"/>
              <w:adjustRightInd/>
              <w:snapToGrid/>
              <w:spacing w:before="19" w:line="440" w:lineRule="exact"/>
              <w:ind w:left="11" w:right="3"/>
              <w:textAlignment w:val="auto"/>
              <w:rPr>
                <w:rFonts w:hint="eastAsia" w:ascii="仿宋" w:hAnsi="仿宋" w:eastAsia="仿宋" w:cs="仿宋"/>
                <w:sz w:val="28"/>
              </w:rPr>
            </w:pPr>
            <w:r>
              <w:rPr>
                <w:rFonts w:hint="eastAsia" w:ascii="仿宋" w:hAnsi="仿宋" w:eastAsia="仿宋" w:cs="仿宋"/>
                <w:spacing w:val="-4"/>
                <w:sz w:val="28"/>
              </w:rPr>
              <w:t>通知公告</w:t>
            </w:r>
          </w:p>
        </w:tc>
      </w:tr>
    </w:tbl>
    <w:p w14:paraId="54E791FA">
      <w:pPr>
        <w:keepNext w:val="0"/>
        <w:keepLines w:val="0"/>
        <w:pageBreakBefore w:val="0"/>
        <w:widowControl/>
        <w:kinsoku/>
        <w:wordWrap/>
        <w:overflowPunct/>
        <w:topLinePunct w:val="0"/>
        <w:autoSpaceDE/>
        <w:autoSpaceDN/>
        <w:bidi w:val="0"/>
        <w:adjustRightInd/>
        <w:snapToGrid/>
        <w:spacing w:before="0" w:after="0" w:line="440" w:lineRule="exact"/>
        <w:ind w:left="0" w:right="0" w:firstLine="620" w:firstLineChars="200"/>
        <w:jc w:val="left"/>
        <w:textAlignment w:val="auto"/>
      </w:pPr>
      <w:r>
        <w:rPr>
          <w:rFonts w:hint="eastAsia" w:ascii="仿宋" w:hAnsi="仿宋" w:eastAsia="仿宋" w:cs="Times New Roman"/>
          <w:kern w:val="2"/>
          <w:sz w:val="31"/>
          <w:szCs w:val="31"/>
          <w:lang w:val="en-US" w:eastAsia="zh-CN" w:bidi="ar-SA"/>
        </w:rPr>
        <w:t>请各党支部根据自身实际开展好党支部学习。请各院级党组织抓好督促指导。</w:t>
      </w:r>
    </w:p>
    <w:p w14:paraId="4D112F0E">
      <w:pPr>
        <w:keepNext w:val="0"/>
        <w:keepLines w:val="0"/>
        <w:pageBreakBefore w:val="0"/>
        <w:widowControl/>
        <w:kinsoku/>
        <w:wordWrap/>
        <w:overflowPunct/>
        <w:topLinePunct w:val="0"/>
        <w:autoSpaceDE/>
        <w:autoSpaceDN/>
        <w:bidi w:val="0"/>
        <w:adjustRightInd/>
        <w:snapToGrid/>
        <w:spacing w:before="0" w:after="157" w:afterLines="50" w:line="440" w:lineRule="exact"/>
        <w:ind w:left="0" w:right="0" w:firstLine="620" w:firstLineChars="200"/>
        <w:jc w:val="left"/>
        <w:textAlignment w:val="auto"/>
        <w:rPr>
          <w:rFonts w:hint="default" w:ascii="Times New Roman" w:hAnsi="Times New Roman" w:eastAsia="仿宋" w:cs="Times New Roman"/>
          <w:kern w:val="2"/>
          <w:sz w:val="2"/>
          <w:szCs w:val="2"/>
          <w:lang w:val="en-US" w:eastAsia="zh-CN" w:bidi="ar-SA"/>
        </w:rPr>
      </w:pPr>
      <w:r>
        <w:rPr>
          <w:rFonts w:hint="eastAsia" w:ascii="仿宋" w:hAnsi="仿宋" w:eastAsia="仿宋" w:cs="Times New Roman"/>
          <w:kern w:val="2"/>
          <w:sz w:val="31"/>
          <w:szCs w:val="31"/>
          <w:lang w:val="en-US" w:eastAsia="zh-CN" w:bidi="ar-SA"/>
        </w:rPr>
        <w:t>联系电话：</w:t>
      </w:r>
      <w:r>
        <w:rPr>
          <w:rFonts w:hint="default" w:ascii="Times New Roman" w:hAnsi="Times New Roman" w:eastAsia="仿宋" w:cs="Times New Roman"/>
          <w:kern w:val="2"/>
          <w:sz w:val="31"/>
          <w:szCs w:val="31"/>
          <w:lang w:val="en-US" w:eastAsia="zh-CN" w:bidi="ar-SA"/>
        </w:rPr>
        <w:t>84892232</w:t>
      </w:r>
      <w:r>
        <w:rPr>
          <w:rFonts w:hint="eastAsia" w:ascii="仿宋" w:hAnsi="仿宋" w:eastAsia="仿宋" w:cs="Times New Roman"/>
          <w:kern w:val="2"/>
          <w:sz w:val="31"/>
          <w:szCs w:val="31"/>
          <w:lang w:val="en-US" w:eastAsia="zh-CN" w:bidi="ar-SA"/>
        </w:rPr>
        <w:t>；联系邮箱：</w:t>
      </w:r>
      <w:r>
        <w:rPr>
          <w:rFonts w:hint="default" w:ascii="Times New Roman" w:hAnsi="Times New Roman" w:eastAsia="仿宋" w:cs="Times New Roman"/>
          <w:kern w:val="2"/>
          <w:sz w:val="31"/>
          <w:szCs w:val="31"/>
          <w:lang w:val="en-US" w:eastAsia="zh-CN" w:bidi="ar-SA"/>
        </w:rPr>
        <w:fldChar w:fldCharType="begin"/>
      </w:r>
      <w:r>
        <w:rPr>
          <w:rFonts w:hint="default" w:ascii="Times New Roman" w:hAnsi="Times New Roman" w:eastAsia="仿宋" w:cs="Times New Roman"/>
          <w:kern w:val="2"/>
          <w:sz w:val="31"/>
          <w:szCs w:val="31"/>
          <w:lang w:val="en-US" w:eastAsia="zh-CN" w:bidi="ar-SA"/>
        </w:rPr>
        <w:instrText xml:space="preserve"> HYPERLINK "mailto:nhzzb@nuaa.edu.cn" \h </w:instrText>
      </w:r>
      <w:r>
        <w:rPr>
          <w:rFonts w:hint="default" w:ascii="Times New Roman" w:hAnsi="Times New Roman" w:eastAsia="仿宋" w:cs="Times New Roman"/>
          <w:kern w:val="2"/>
          <w:sz w:val="31"/>
          <w:szCs w:val="31"/>
          <w:lang w:val="en-US" w:eastAsia="zh-CN" w:bidi="ar-SA"/>
        </w:rPr>
        <w:fldChar w:fldCharType="separate"/>
      </w:r>
      <w:r>
        <w:rPr>
          <w:rFonts w:hint="default" w:ascii="Times New Roman" w:hAnsi="Times New Roman" w:eastAsia="仿宋" w:cs="Times New Roman"/>
          <w:kern w:val="2"/>
          <w:sz w:val="31"/>
          <w:szCs w:val="31"/>
          <w:lang w:val="en-US" w:eastAsia="zh-CN" w:bidi="ar-SA"/>
        </w:rPr>
        <w:t>nhzzb@nuaa.edu.cn</w:t>
      </w:r>
      <w:r>
        <w:rPr>
          <w:rFonts w:hint="default" w:ascii="Times New Roman" w:hAnsi="Times New Roman" w:eastAsia="仿宋" w:cs="Times New Roman"/>
          <w:kern w:val="2"/>
          <w:sz w:val="31"/>
          <w:szCs w:val="31"/>
          <w:lang w:val="en-US" w:eastAsia="zh-CN" w:bidi="ar-SA"/>
        </w:rPr>
        <w:fldChar w:fldCharType="end"/>
      </w:r>
    </w:p>
    <w:p w14:paraId="3831121B">
      <w:pPr>
        <w:keepNext w:val="0"/>
        <w:keepLines w:val="0"/>
        <w:pageBreakBefore w:val="0"/>
        <w:widowControl/>
        <w:kinsoku/>
        <w:wordWrap/>
        <w:overflowPunct/>
        <w:topLinePunct w:val="0"/>
        <w:autoSpaceDE/>
        <w:autoSpaceDN/>
        <w:bidi w:val="0"/>
        <w:adjustRightInd/>
        <w:snapToGrid/>
        <w:spacing w:before="0" w:after="0" w:line="560" w:lineRule="exact"/>
        <w:ind w:right="0"/>
        <w:jc w:val="right"/>
        <w:textAlignment w:val="auto"/>
        <w:rPr>
          <w:rFonts w:hint="eastAsia" w:ascii="仿宋" w:hAnsi="仿宋" w:eastAsia="仿宋" w:cs="Times New Roman"/>
          <w:kern w:val="2"/>
          <w:sz w:val="31"/>
          <w:szCs w:val="31"/>
          <w:lang w:val="en-US" w:eastAsia="zh-CN" w:bidi="ar-SA"/>
        </w:rPr>
      </w:pPr>
      <w:r>
        <w:rPr>
          <w:rFonts w:hint="eastAsia" w:ascii="仿宋" w:hAnsi="仿宋" w:eastAsia="仿宋" w:cs="Times New Roman"/>
          <w:kern w:val="2"/>
          <w:sz w:val="31"/>
          <w:szCs w:val="31"/>
          <w:lang w:val="en-US" w:eastAsia="zh-CN" w:bidi="ar-SA"/>
        </w:rPr>
        <w:t xml:space="preserve">组织部  宣传部  纪委办   </w:t>
      </w:r>
    </w:p>
    <w:p w14:paraId="5A6DB792">
      <w:pPr>
        <w:widowControl/>
        <w:autoSpaceDE/>
        <w:autoSpaceDN/>
        <w:spacing w:before="0" w:after="0" w:line="440" w:lineRule="exact"/>
        <w:ind w:right="0"/>
        <w:jc w:val="right"/>
        <w:rPr>
          <w:rFonts w:hint="eastAsia" w:ascii="仿宋" w:hAnsi="仿宋" w:eastAsia="仿宋" w:cs="Times New Roman"/>
          <w:kern w:val="2"/>
          <w:sz w:val="31"/>
          <w:szCs w:val="31"/>
          <w:lang w:val="en-US" w:eastAsia="zh-CN" w:bidi="ar-SA"/>
        </w:rPr>
      </w:pPr>
      <w:r>
        <w:rPr>
          <w:rFonts w:hint="default" w:ascii="Times New Roman" w:hAnsi="Times New Roman" w:eastAsia="仿宋" w:cs="Times New Roman"/>
          <w:kern w:val="2"/>
          <w:sz w:val="31"/>
          <w:szCs w:val="31"/>
          <w:lang w:val="en-US" w:eastAsia="zh-CN" w:bidi="ar-SA"/>
        </w:rPr>
        <w:t>2024</w:t>
      </w:r>
      <w:r>
        <w:rPr>
          <w:rFonts w:hint="eastAsia" w:ascii="仿宋" w:hAnsi="仿宋" w:eastAsia="仿宋" w:cs="Times New Roman"/>
          <w:kern w:val="2"/>
          <w:sz w:val="31"/>
          <w:szCs w:val="31"/>
          <w:lang w:val="en-US" w:eastAsia="zh-CN" w:bidi="ar-SA"/>
        </w:rPr>
        <w:t>年</w:t>
      </w:r>
      <w:r>
        <w:rPr>
          <w:rFonts w:hint="default" w:ascii="Times New Roman" w:hAnsi="Times New Roman" w:eastAsia="仿宋" w:cs="Times New Roman"/>
          <w:kern w:val="2"/>
          <w:sz w:val="31"/>
          <w:szCs w:val="31"/>
          <w:lang w:val="en-US" w:eastAsia="zh-CN" w:bidi="ar-SA"/>
        </w:rPr>
        <w:t>11</w:t>
      </w:r>
      <w:r>
        <w:rPr>
          <w:rFonts w:hint="eastAsia" w:ascii="仿宋" w:hAnsi="仿宋" w:eastAsia="仿宋" w:cs="Times New Roman"/>
          <w:kern w:val="2"/>
          <w:sz w:val="31"/>
          <w:szCs w:val="31"/>
          <w:lang w:val="en-US" w:eastAsia="zh-CN" w:bidi="ar-SA"/>
        </w:rPr>
        <w:t>月</w:t>
      </w:r>
      <w:r>
        <w:rPr>
          <w:rFonts w:hint="default" w:ascii="Times New Roman" w:hAnsi="Times New Roman" w:eastAsia="仿宋" w:cs="Times New Roman"/>
          <w:kern w:val="2"/>
          <w:sz w:val="31"/>
          <w:szCs w:val="31"/>
          <w:lang w:val="en-US" w:eastAsia="zh-CN" w:bidi="ar-SA"/>
        </w:rPr>
        <w:t>4</w:t>
      </w:r>
      <w:r>
        <w:rPr>
          <w:rFonts w:hint="eastAsia" w:ascii="仿宋" w:hAnsi="仿宋" w:eastAsia="仿宋" w:cs="Times New Roman"/>
          <w:kern w:val="2"/>
          <w:sz w:val="31"/>
          <w:szCs w:val="31"/>
          <w:lang w:val="en-US" w:eastAsia="zh-CN" w:bidi="ar-SA"/>
        </w:rPr>
        <w:t xml:space="preserve">日    </w:t>
      </w:r>
    </w:p>
    <w:p w14:paraId="138A32A1">
      <w:pPr>
        <w:rPr>
          <w:rFonts w:hint="eastAsia" w:ascii="仿宋" w:hAnsi="仿宋" w:eastAsia="仿宋" w:cs="Times New Roman"/>
          <w:kern w:val="2"/>
          <w:sz w:val="31"/>
          <w:szCs w:val="31"/>
          <w:lang w:val="en-US" w:eastAsia="zh-CN" w:bidi="ar-SA"/>
        </w:rPr>
      </w:pPr>
      <w:r>
        <w:rPr>
          <w:rFonts w:hint="eastAsia" w:ascii="仿宋" w:hAnsi="仿宋" w:eastAsia="仿宋" w:cs="Times New Roman"/>
          <w:kern w:val="2"/>
          <w:sz w:val="31"/>
          <w:szCs w:val="31"/>
          <w:lang w:val="en-US" w:eastAsia="zh-CN" w:bidi="ar-SA"/>
        </w:rPr>
        <w:br w:type="page"/>
      </w:r>
    </w:p>
    <w:p w14:paraId="043E2F2B">
      <w:pPr>
        <w:autoSpaceDE/>
        <w:autoSpaceDN/>
        <w:spacing w:before="0" w:after="0" w:line="500" w:lineRule="exact"/>
        <w:ind w:left="0" w:right="0"/>
        <w:jc w:val="both"/>
        <w:rPr>
          <w:rFonts w:ascii="Times New Roman" w:hAnsi="Times New Roman" w:eastAsia="黑体" w:cs="Times New Roman"/>
          <w:kern w:val="2"/>
          <w:sz w:val="28"/>
          <w:szCs w:val="32"/>
        </w:rPr>
      </w:pPr>
      <w:r>
        <w:rPr>
          <w:rFonts w:ascii="Times New Roman" w:hAnsi="Times New Roman" w:eastAsia="黑体" w:cs="Times New Roman"/>
          <w:kern w:val="2"/>
          <w:sz w:val="28"/>
          <w:szCs w:val="32"/>
        </w:rPr>
        <w:t>附件1</w:t>
      </w:r>
    </w:p>
    <w:p w14:paraId="5EE8775D">
      <w:pPr>
        <w:autoSpaceDE/>
        <w:autoSpaceDN/>
        <w:spacing w:before="156" w:beforeLines="50" w:after="156" w:afterLines="50" w:line="500" w:lineRule="exact"/>
        <w:ind w:left="0" w:right="0"/>
        <w:jc w:val="center"/>
        <w:rPr>
          <w:rFonts w:ascii="Times New Roman" w:hAnsi="Times New Roman" w:eastAsia="方正小标宋简体" w:cs="Times New Roman"/>
          <w:bCs/>
          <w:spacing w:val="-4"/>
          <w:kern w:val="2"/>
          <w:sz w:val="36"/>
          <w:szCs w:val="32"/>
        </w:rPr>
      </w:pPr>
      <w:r>
        <w:rPr>
          <w:rFonts w:hint="eastAsia" w:ascii="Times New Roman" w:hAnsi="Times New Roman" w:eastAsia="方正小标宋简体" w:cs="Times New Roman"/>
          <w:bCs/>
          <w:spacing w:val="-4"/>
          <w:kern w:val="2"/>
          <w:sz w:val="36"/>
          <w:szCs w:val="32"/>
        </w:rPr>
        <w:t xml:space="preserve">深入学习贯彻党的二十届三中全会精神 </w:t>
      </w:r>
    </w:p>
    <w:p w14:paraId="2C51D5E7">
      <w:pPr>
        <w:autoSpaceDE/>
        <w:autoSpaceDN/>
        <w:spacing w:before="156" w:beforeLines="50" w:after="156" w:afterLines="50" w:line="500" w:lineRule="exact"/>
        <w:ind w:left="0" w:right="0"/>
        <w:jc w:val="center"/>
        <w:rPr>
          <w:rFonts w:ascii="Times New Roman" w:hAnsi="Times New Roman" w:eastAsia="方正小标宋简体" w:cs="Times New Roman"/>
          <w:bCs/>
          <w:spacing w:val="-4"/>
          <w:kern w:val="2"/>
          <w:sz w:val="36"/>
          <w:szCs w:val="32"/>
        </w:rPr>
      </w:pPr>
      <w:r>
        <w:rPr>
          <w:rFonts w:hint="eastAsia" w:ascii="Times New Roman" w:hAnsi="Times New Roman" w:eastAsia="方正小标宋简体" w:cs="Times New Roman"/>
          <w:bCs/>
          <w:spacing w:val="-4"/>
          <w:kern w:val="2"/>
          <w:sz w:val="36"/>
          <w:szCs w:val="32"/>
        </w:rPr>
        <w:t>凝心聚力推动改革行稳致远</w:t>
      </w:r>
    </w:p>
    <w:p w14:paraId="75F8B81E">
      <w:pPr>
        <w:autoSpaceDE/>
        <w:autoSpaceDN/>
        <w:spacing w:before="0" w:after="156" w:afterLines="50" w:line="500" w:lineRule="exact"/>
        <w:ind w:left="0" w:right="0"/>
        <w:jc w:val="center"/>
        <w:rPr>
          <w:rFonts w:ascii="Times New Roman" w:hAnsi="Times New Roman" w:eastAsia="楷体_GB2312" w:cs="Times New Roman"/>
          <w:kern w:val="2"/>
          <w:sz w:val="28"/>
          <w:szCs w:val="32"/>
        </w:rPr>
      </w:pPr>
      <w:r>
        <w:rPr>
          <w:rFonts w:ascii="Times New Roman" w:hAnsi="Times New Roman" w:eastAsia="楷体_GB2312" w:cs="Times New Roman"/>
          <w:kern w:val="2"/>
          <w:sz w:val="28"/>
          <w:szCs w:val="32"/>
        </w:rPr>
        <w:t>（</w:t>
      </w:r>
      <w:r>
        <w:rPr>
          <w:rFonts w:hint="eastAsia" w:ascii="Times New Roman" w:hAnsi="Times New Roman" w:eastAsia="楷体_GB2312" w:cs="Times New Roman"/>
          <w:kern w:val="2"/>
          <w:sz w:val="28"/>
          <w:szCs w:val="32"/>
        </w:rPr>
        <w:t>习近平总书记2024年</w:t>
      </w:r>
      <w:r>
        <w:rPr>
          <w:rFonts w:ascii="Times New Roman" w:hAnsi="Times New Roman" w:eastAsia="楷体_GB2312" w:cs="Times New Roman"/>
          <w:kern w:val="2"/>
          <w:sz w:val="28"/>
          <w:szCs w:val="32"/>
        </w:rPr>
        <w:t>10</w:t>
      </w:r>
      <w:r>
        <w:rPr>
          <w:rFonts w:hint="eastAsia" w:ascii="Times New Roman" w:hAnsi="Times New Roman" w:eastAsia="楷体_GB2312" w:cs="Times New Roman"/>
          <w:kern w:val="2"/>
          <w:sz w:val="28"/>
          <w:szCs w:val="32"/>
        </w:rPr>
        <w:t>月</w:t>
      </w:r>
      <w:r>
        <w:rPr>
          <w:rFonts w:ascii="Times New Roman" w:hAnsi="Times New Roman" w:eastAsia="楷体_GB2312" w:cs="Times New Roman"/>
          <w:kern w:val="2"/>
          <w:sz w:val="28"/>
          <w:szCs w:val="32"/>
        </w:rPr>
        <w:t>29</w:t>
      </w:r>
      <w:r>
        <w:rPr>
          <w:rFonts w:hint="eastAsia" w:ascii="Times New Roman" w:hAnsi="Times New Roman" w:eastAsia="楷体_GB2312" w:cs="Times New Roman"/>
          <w:kern w:val="2"/>
          <w:sz w:val="28"/>
          <w:szCs w:val="32"/>
        </w:rPr>
        <w:t>日在省部级主要领导干部学习贯彻党的二十届三中全会精神专题研讨班开班式上的重要讲话精神</w:t>
      </w:r>
      <w:r>
        <w:rPr>
          <w:rFonts w:ascii="Times New Roman" w:hAnsi="Times New Roman" w:eastAsia="楷体_GB2312" w:cs="Times New Roman"/>
          <w:kern w:val="2"/>
          <w:sz w:val="28"/>
          <w:szCs w:val="32"/>
        </w:rPr>
        <w:t>）</w:t>
      </w:r>
    </w:p>
    <w:p w14:paraId="7616ECE2">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省部级主要领导干部学习贯彻党的二十届三中全会精神专题研讨班10月29日上午在中央党校（国家行政学院）开班。中共中央总书记、国家主席、中央军委主席习近平在开班式上发表重要讲话强调，要把学习贯彻党的二十届三中全会精神不断引向深入，引导全党全国人民坚定改革信心，更好凝心聚力推动改革行稳致远。</w:t>
      </w:r>
    </w:p>
    <w:p w14:paraId="5A9F3F7E">
      <w:pPr>
        <w:autoSpaceDE/>
        <w:autoSpaceDN/>
        <w:spacing w:before="0" w:after="0" w:line="500" w:lineRule="exact"/>
        <w:ind w:left="0" w:right="0"/>
        <w:jc w:val="both"/>
        <w:rPr>
          <w:rFonts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中共中央政治局常委李强主持开班式，中共中央政治局常委赵乐际、王沪宁、蔡奇、丁薛祥、李希，国家副主席韩正出席开班式。</w:t>
      </w:r>
    </w:p>
    <w:p w14:paraId="756652FC">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习近平指出，</w:t>
      </w:r>
      <w:r>
        <w:rPr>
          <w:rFonts w:hint="eastAsia" w:ascii="Times New Roman" w:hAnsi="Times New Roman" w:eastAsia="仿宋_GB2312" w:cs="Times New Roman"/>
          <w:kern w:val="2"/>
          <w:sz w:val="28"/>
          <w:szCs w:val="32"/>
        </w:rPr>
        <w:t>党的十八届三中全会开启了新时代全面深化改革、系统整体设计推进改革新征程，开创了我国改革开放全新局面，具有划时代意义。新时代全面深化改革取得了重大实践成果、制度成果、理论成果，是我国改革开放历史进程中最壮丽的篇章之一，为全面建成小康社会、续写“两大奇迹”提供了强大动力和制度保障，也为新征程进一步全面深化改革提供了坚实基础和宝贵经验。</w:t>
      </w:r>
    </w:p>
    <w:p w14:paraId="5F927359">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习近平强调，</w:t>
      </w:r>
      <w:r>
        <w:rPr>
          <w:rFonts w:hint="eastAsia" w:ascii="Times New Roman" w:hAnsi="Times New Roman" w:eastAsia="仿宋_GB2312" w:cs="Times New Roman"/>
          <w:kern w:val="2"/>
          <w:sz w:val="28"/>
          <w:szCs w:val="32"/>
        </w:rPr>
        <w:t>守正创新是进一步全面深化改革必须牢牢把握、始终坚守的重大原则。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要坚持继续完善和发展中国特色社会主义制度、推进国家治理体系和治理能力现代化的改革总目标，始终朝着总目标指引的方向前进，该改的坚决改，不该改的不改。要顺应时代发展新趋势、实践发展新要求、人民群众新期待，突出经济体制改革这个重点，全面协调推进各方面改革，大力推进理论创新、实践创新、制度创新、文化创新以及其他各方面创新，为中国式现代化提供强大动力和制度保障。</w:t>
      </w:r>
    </w:p>
    <w:p w14:paraId="58757BAC">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习近平指出，</w:t>
      </w:r>
      <w:r>
        <w:rPr>
          <w:rFonts w:hint="eastAsia" w:ascii="Times New Roman" w:hAnsi="Times New Roman" w:eastAsia="仿宋_GB2312" w:cs="Times New Roman"/>
          <w:kern w:val="2"/>
          <w:sz w:val="28"/>
          <w:szCs w:val="32"/>
        </w:rPr>
        <w:t>改革是一项系统工程，需要讲求科学方法，处理好方方面面的关系。要坚持改革和法治相统一，以改革之力完善法治，进一步深化法治领域改革，不断完善中国特色社会主义法治体系；更好发挥法治在排除改革阻力、巩固改革成果中的积极作用，善于运用法治思维和法治方式推进改革，做到重大改革于法有据，平等保护全体公民和法人的合法权益。要坚持破和立的辩证统一，破立并举、先立后破，该立的积极主动立起来，该破的在立的基础上及时破，在破立统一中实现改革蹄疾步稳。要坚持改革和开放相统一，稳步扩大制度型开放，主动对接国际高标准经贸规则，深化外贸、外商投资和对外投资管理体制改革，营造市场化、法治化、国际化一流营商环境。要处理好部署和落实的关系，改革方案的设计必须把握客观规律，注重各项改革举措的协调配套，增强改革取向的一致性，建立健全责任明晰、链条完整、环环相扣的工作机制，强化跟踪问效，推动改革举措落实落细落到位。</w:t>
      </w:r>
    </w:p>
    <w:p w14:paraId="7869A2D4">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习近平强调，</w:t>
      </w:r>
      <w:r>
        <w:rPr>
          <w:rFonts w:hint="eastAsia" w:ascii="Times New Roman" w:hAnsi="Times New Roman" w:eastAsia="仿宋_GB2312" w:cs="Times New Roman"/>
          <w:kern w:val="2"/>
          <w:sz w:val="28"/>
          <w:szCs w:val="32"/>
        </w:rPr>
        <w:t>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w:t>
      </w:r>
    </w:p>
    <w:p w14:paraId="5EA4EAAD">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习近平指出，</w:t>
      </w:r>
      <w:r>
        <w:rPr>
          <w:rFonts w:hint="eastAsia" w:ascii="Times New Roman" w:hAnsi="Times New Roman" w:eastAsia="仿宋_GB2312" w:cs="Times New Roman"/>
          <w:kern w:val="2"/>
          <w:sz w:val="28"/>
          <w:szCs w:val="32"/>
        </w:rPr>
        <w:t>广泛凝聚共识、充分调动一切积极因素，对顺利推进改革十分重要。要切实做好改革舆论引导工作，加强正面宣传，唱响主旋律、传递正能量。加强对全会《决定》提出的一些重大理论观点的研究和阐释，特别是加强面向基层和群众的宣传、解读，及时解疑释惑，回应社会关切，广泛凝聚共识，筑牢全党全社会共抓改革的思想基础、群众基础。引导干部、群众增强大局意识，正确对待改革中的利益关系调整和个人利害得失。</w:t>
      </w:r>
    </w:p>
    <w:p w14:paraId="5FB9F138">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习近平最后强调，</w:t>
      </w:r>
      <w:r>
        <w:rPr>
          <w:rFonts w:hint="eastAsia" w:ascii="Times New Roman" w:hAnsi="Times New Roman" w:eastAsia="仿宋_GB2312" w:cs="Times New Roman"/>
          <w:kern w:val="2"/>
          <w:sz w:val="28"/>
          <w:szCs w:val="32"/>
        </w:rPr>
        <w:t>各地区各部门要认真贯彻中央政治局会议确定的一系列重大举措，把各项存量政策和增量政策落实到位，打好组合拳，切实抓好后两个月的各项工作，努力实现全年经济社会发展目标任务。</w:t>
      </w:r>
    </w:p>
    <w:p w14:paraId="1F1E9EAC">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李强在主持开班式时指出，习近平总书记的重要讲话立意高远、思想深邃、论述精辟、内涵丰富，具有很强的政治性、理论性、针对性、指导性，对于全党特别是高级干部全面准确理解党的二十届三中全会精神，深刻把握进一步全面深化改革的指导思想、总体目标、重大原则、科学方法，坚定改革信心、把准改革方向、强化改革责任、汇聚改革合力，推动各项改革举措精准落地见效，具有十分重要的意义。要带着使命学、带着责任学、带着问题学，深刻理解把握总书记重要讲话的丰富内涵、精髓要义和实践要求，深刻领悟“两个确立”的决定性意义，坚决做到“两个维护”，切实把思想和行动统一到总书记重要讲话精神和党中央决策部署上来，创造性地抓好改革任务落实。</w:t>
      </w:r>
    </w:p>
    <w:p w14:paraId="0AB531DE">
      <w:pPr>
        <w:autoSpaceDE/>
        <w:autoSpaceDN/>
        <w:spacing w:before="0" w:after="0" w:line="500" w:lineRule="exact"/>
        <w:ind w:left="0" w:right="0"/>
        <w:jc w:val="both"/>
        <w:rPr>
          <w:rFonts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中共中央政治局委员、中央书记处书记，全国人大常委会党员副委员长，国务委员，最高人民法院院长，全国政协党员副主席以及中央军委委员出席开班式。</w:t>
      </w:r>
    </w:p>
    <w:p w14:paraId="7E6C5A6F">
      <w:pPr>
        <w:autoSpaceDE/>
        <w:autoSpaceDN/>
        <w:spacing w:before="0" w:after="0" w:line="500" w:lineRule="exact"/>
        <w:ind w:left="0" w:right="0"/>
        <w:jc w:val="both"/>
        <w:rPr>
          <w:rFonts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14:paraId="14667423">
      <w:pPr>
        <w:spacing w:line="500" w:lineRule="exact"/>
        <w:rPr>
          <w:rFonts w:ascii="Times New Roman" w:hAnsi="Times New Roman" w:eastAsia="黑体" w:cs="Times New Roman"/>
          <w:sz w:val="28"/>
          <w:szCs w:val="32"/>
        </w:rPr>
        <w:sectPr>
          <w:footerReference r:id="rId5" w:type="default"/>
          <w:type w:val="continuous"/>
          <w:pgSz w:w="11906" w:h="16838"/>
          <w:pgMar w:top="1440" w:right="1418" w:bottom="1440" w:left="1418" w:header="850" w:footer="992" w:gutter="0"/>
          <w:cols w:space="425" w:num="1"/>
          <w:docGrid w:type="lines" w:linePitch="312" w:charSpace="0"/>
        </w:sectPr>
      </w:pPr>
    </w:p>
    <w:p w14:paraId="5B35DCA2">
      <w:pPr>
        <w:autoSpaceDE/>
        <w:autoSpaceDN/>
        <w:spacing w:before="0" w:after="0" w:line="500" w:lineRule="exact"/>
        <w:ind w:left="0" w:right="0"/>
        <w:jc w:val="both"/>
        <w:rPr>
          <w:rFonts w:ascii="Times New Roman" w:hAnsi="Times New Roman" w:eastAsia="黑体" w:cs="Times New Roman"/>
          <w:kern w:val="2"/>
          <w:sz w:val="28"/>
          <w:szCs w:val="32"/>
        </w:rPr>
      </w:pPr>
      <w:r>
        <w:rPr>
          <w:rFonts w:ascii="Times New Roman" w:hAnsi="Times New Roman" w:eastAsia="黑体" w:cs="Times New Roman"/>
          <w:kern w:val="2"/>
          <w:sz w:val="28"/>
          <w:szCs w:val="32"/>
        </w:rPr>
        <w:t>附件2</w:t>
      </w:r>
    </w:p>
    <w:p w14:paraId="79CAA673">
      <w:pPr>
        <w:autoSpaceDE/>
        <w:autoSpaceDN/>
        <w:spacing w:before="156" w:beforeLines="50" w:after="156" w:afterLines="50" w:line="500" w:lineRule="exact"/>
        <w:ind w:left="0" w:right="0"/>
        <w:jc w:val="center"/>
        <w:rPr>
          <w:rFonts w:ascii="Times New Roman" w:hAnsi="Times New Roman" w:eastAsia="方正小标宋简体" w:cs="Times New Roman"/>
          <w:bCs/>
          <w:spacing w:val="-4"/>
          <w:kern w:val="2"/>
          <w:sz w:val="36"/>
          <w:szCs w:val="32"/>
        </w:rPr>
      </w:pPr>
      <w:r>
        <w:rPr>
          <w:rFonts w:hint="eastAsia" w:ascii="Times New Roman" w:hAnsi="Times New Roman" w:eastAsia="方正小标宋简体" w:cs="Times New Roman"/>
          <w:bCs/>
          <w:spacing w:val="-4"/>
          <w:kern w:val="2"/>
          <w:sz w:val="36"/>
          <w:szCs w:val="32"/>
        </w:rPr>
        <w:t>习近平给中国国际大学生创新大赛参赛学生代表的回信</w:t>
      </w:r>
    </w:p>
    <w:p w14:paraId="56D5AB29">
      <w:pPr>
        <w:autoSpaceDE/>
        <w:autoSpaceDN/>
        <w:spacing w:before="0" w:after="0" w:line="500" w:lineRule="exact"/>
        <w:ind w:left="0" w:right="0"/>
        <w:jc w:val="both"/>
        <w:rPr>
          <w:rFonts w:ascii="Times New Roman" w:hAnsi="Times New Roman" w:eastAsia="仿宋_GB2312" w:cs="Times New Roman"/>
          <w:kern w:val="2"/>
          <w:sz w:val="28"/>
          <w:szCs w:val="32"/>
        </w:rPr>
      </w:pPr>
    </w:p>
    <w:p w14:paraId="150F59FA">
      <w:pPr>
        <w:autoSpaceDE/>
        <w:autoSpaceDN/>
        <w:spacing w:before="0" w:after="0" w:line="500" w:lineRule="exact"/>
        <w:ind w:left="0" w:right="0"/>
        <w:jc w:val="both"/>
        <w:rPr>
          <w:rFonts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中国国际大学生创新大赛参赛学生代表：</w:t>
      </w:r>
    </w:p>
    <w:p w14:paraId="0BE184D6">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你们好！来信收悉。你们以大赛为平台，用在课堂和实验室学到的知识解决实际问题，在创新实践中增本领、长才干，在互学互鉴中增进中外青年的友谊，这很有意义。</w:t>
      </w:r>
    </w:p>
    <w:p w14:paraId="62AE186C">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创新是人类进步的源泉，青年是创新的重要生力军。希望你们弘扬科学精神，积极投身科技创新，为促进中外科技交流、推动科技进步贡献青春力量。全社会都要关心青年的成长和发展，营造良好创新创业氛围，让广大青年在中国式现代化的广阔天地中更好展现才华。</w:t>
      </w:r>
    </w:p>
    <w:p w14:paraId="6FD53F1C">
      <w:pPr>
        <w:autoSpaceDE/>
        <w:autoSpaceDN/>
        <w:spacing w:before="0" w:after="0" w:line="500" w:lineRule="exact"/>
        <w:ind w:left="0" w:right="0"/>
        <w:jc w:val="both"/>
        <w:rPr>
          <w:rFonts w:ascii="Times New Roman" w:hAnsi="Times New Roman" w:eastAsia="仿宋_GB2312" w:cs="Times New Roman"/>
          <w:kern w:val="2"/>
          <w:sz w:val="28"/>
          <w:szCs w:val="32"/>
        </w:rPr>
      </w:pPr>
    </w:p>
    <w:p w14:paraId="00B2E6B6">
      <w:pPr>
        <w:autoSpaceDE/>
        <w:autoSpaceDN/>
        <w:spacing w:before="0" w:after="0" w:line="500" w:lineRule="exact"/>
        <w:ind w:left="0" w:right="0"/>
        <w:jc w:val="both"/>
        <w:rPr>
          <w:rFonts w:hint="eastAsia" w:ascii="Times New Roman" w:hAnsi="Times New Roman" w:eastAsia="仿宋_GB2312" w:cs="Times New Roman"/>
          <w:kern w:val="2"/>
          <w:sz w:val="28"/>
          <w:szCs w:val="32"/>
        </w:rPr>
      </w:pPr>
    </w:p>
    <w:p w14:paraId="57E6CCA2">
      <w:pPr>
        <w:autoSpaceDE/>
        <w:autoSpaceDN/>
        <w:spacing w:before="0" w:after="0" w:line="500" w:lineRule="exact"/>
        <w:ind w:left="0" w:right="880" w:rightChars="400"/>
        <w:jc w:val="right"/>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习近平</w:t>
      </w:r>
    </w:p>
    <w:p w14:paraId="10904E8C">
      <w:pPr>
        <w:autoSpaceDE/>
        <w:autoSpaceDN/>
        <w:spacing w:before="0" w:after="0" w:line="500" w:lineRule="exact"/>
        <w:ind w:left="0" w:right="0" w:firstLine="6720" w:firstLineChars="2400"/>
        <w:jc w:val="both"/>
        <w:rPr>
          <w:rFonts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2024年10月16日</w:t>
      </w:r>
    </w:p>
    <w:p w14:paraId="50C40C5D">
      <w:pPr>
        <w:autoSpaceDE/>
        <w:autoSpaceDN/>
        <w:spacing w:before="0" w:after="0" w:line="500" w:lineRule="exact"/>
        <w:ind w:left="0" w:right="0"/>
        <w:jc w:val="both"/>
        <w:rPr>
          <w:rFonts w:ascii="Times New Roman" w:hAnsi="Times New Roman" w:eastAsia="仿宋_GB2312" w:cs="Times New Roman"/>
          <w:kern w:val="2"/>
          <w:sz w:val="28"/>
          <w:szCs w:val="32"/>
        </w:rPr>
      </w:pPr>
    </w:p>
    <w:p w14:paraId="6176D51F">
      <w:pPr>
        <w:widowControl/>
        <w:autoSpaceDE/>
        <w:autoSpaceDN/>
        <w:spacing w:before="0" w:after="0" w:line="500" w:lineRule="exact"/>
        <w:ind w:left="0" w:right="0"/>
        <w:jc w:val="left"/>
        <w:rPr>
          <w:rFonts w:ascii="Times New Roman" w:hAnsi="Times New Roman" w:eastAsia="黑体" w:cs="Times New Roman"/>
          <w:bCs/>
          <w:color w:val="000000"/>
          <w:kern w:val="0"/>
          <w:sz w:val="28"/>
          <w:szCs w:val="32"/>
        </w:rPr>
      </w:pPr>
      <w:r>
        <w:rPr>
          <w:rFonts w:ascii="Times New Roman" w:hAnsi="Times New Roman" w:eastAsia="黑体" w:cs="Times New Roman"/>
          <w:bCs/>
          <w:color w:val="000000"/>
          <w:kern w:val="0"/>
          <w:sz w:val="28"/>
          <w:szCs w:val="32"/>
        </w:rPr>
        <w:br w:type="page"/>
      </w:r>
    </w:p>
    <w:p w14:paraId="2C03AAFD">
      <w:pPr>
        <w:autoSpaceDE/>
        <w:autoSpaceDN/>
        <w:spacing w:before="0" w:after="0" w:line="500" w:lineRule="exact"/>
        <w:ind w:left="0" w:right="0"/>
        <w:jc w:val="both"/>
        <w:rPr>
          <w:rFonts w:ascii="Times New Roman" w:hAnsi="Times New Roman" w:eastAsia="黑体" w:cs="Times New Roman"/>
          <w:kern w:val="2"/>
          <w:sz w:val="28"/>
          <w:szCs w:val="32"/>
        </w:rPr>
      </w:pPr>
      <w:r>
        <w:rPr>
          <w:rFonts w:ascii="Times New Roman" w:hAnsi="Times New Roman" w:eastAsia="黑体" w:cs="Times New Roman"/>
          <w:kern w:val="2"/>
          <w:sz w:val="28"/>
          <w:szCs w:val="32"/>
        </w:rPr>
        <w:t>附件3</w:t>
      </w:r>
    </w:p>
    <w:p w14:paraId="2D799543">
      <w:pPr>
        <w:autoSpaceDE/>
        <w:autoSpaceDN/>
        <w:spacing w:before="0" w:after="156" w:afterLines="50" w:line="500" w:lineRule="exact"/>
        <w:ind w:left="0" w:right="0"/>
        <w:jc w:val="center"/>
        <w:rPr>
          <w:rFonts w:ascii="Times New Roman" w:hAnsi="Times New Roman" w:eastAsia="方正小标宋简体" w:cs="Times New Roman"/>
          <w:bCs/>
          <w:spacing w:val="-4"/>
          <w:kern w:val="2"/>
          <w:sz w:val="36"/>
          <w:szCs w:val="32"/>
        </w:rPr>
      </w:pPr>
      <w:r>
        <w:rPr>
          <w:rFonts w:hint="eastAsia" w:ascii="Times New Roman" w:hAnsi="Times New Roman" w:eastAsia="方正小标宋简体" w:cs="Times New Roman"/>
          <w:bCs/>
          <w:spacing w:val="-4"/>
          <w:kern w:val="2"/>
          <w:sz w:val="36"/>
          <w:szCs w:val="32"/>
        </w:rPr>
        <w:t>习近平给中国海洋大学全体师生的回信</w:t>
      </w:r>
    </w:p>
    <w:p w14:paraId="11E048B3">
      <w:pPr>
        <w:autoSpaceDE/>
        <w:autoSpaceDN/>
        <w:spacing w:before="0" w:after="0" w:line="500" w:lineRule="exact"/>
        <w:ind w:left="0" w:right="0" w:firstLine="560" w:firstLineChars="200"/>
        <w:jc w:val="both"/>
        <w:rPr>
          <w:rFonts w:ascii="Times New Roman" w:hAnsi="Times New Roman" w:eastAsia="仿宋_GB2312" w:cs="Times New Roman"/>
          <w:kern w:val="2"/>
          <w:sz w:val="28"/>
          <w:szCs w:val="32"/>
        </w:rPr>
      </w:pPr>
    </w:p>
    <w:p w14:paraId="1BB4151C">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中国海洋大学全体师生：</w:t>
      </w:r>
    </w:p>
    <w:p w14:paraId="512D461E">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你们好！来信收悉。值此中国海洋大学建校100周年之际，向全校师生员工、广大校友致以祝贺！</w:t>
      </w:r>
    </w:p>
    <w:p w14:paraId="7A4DA26C">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希望你们以建校百年为新起点，以科技发展、国家战略需求为牵引，完善学科设置调整机制和人才培养模式，加强原创性、引领性海洋科技攻关，努力培养更多胸怀蓝色梦想、堪当时代重任的优秀海洋人才，为建设教育强国、海洋强国作出更大贡献。</w:t>
      </w:r>
    </w:p>
    <w:p w14:paraId="3713DE42">
      <w:pPr>
        <w:autoSpaceDE/>
        <w:autoSpaceDN/>
        <w:spacing w:before="0" w:after="0" w:line="500" w:lineRule="exact"/>
        <w:ind w:left="0" w:right="0"/>
        <w:jc w:val="both"/>
        <w:rPr>
          <w:rFonts w:ascii="Times New Roman" w:hAnsi="Times New Roman" w:eastAsia="仿宋_GB2312" w:cs="Times New Roman"/>
          <w:kern w:val="2"/>
          <w:sz w:val="28"/>
          <w:szCs w:val="32"/>
        </w:rPr>
      </w:pPr>
    </w:p>
    <w:p w14:paraId="218BA3ED">
      <w:pPr>
        <w:autoSpaceDE/>
        <w:autoSpaceDN/>
        <w:spacing w:before="0" w:after="0" w:line="500" w:lineRule="exact"/>
        <w:ind w:left="0" w:right="0"/>
        <w:jc w:val="both"/>
        <w:rPr>
          <w:rFonts w:hint="eastAsia" w:ascii="Times New Roman" w:hAnsi="Times New Roman" w:eastAsia="仿宋_GB2312" w:cs="Times New Roman"/>
          <w:kern w:val="2"/>
          <w:sz w:val="28"/>
          <w:szCs w:val="32"/>
        </w:rPr>
      </w:pPr>
    </w:p>
    <w:p w14:paraId="49BF30FC">
      <w:pPr>
        <w:autoSpaceDE/>
        <w:autoSpaceDN/>
        <w:spacing w:before="0" w:after="0" w:line="500" w:lineRule="exact"/>
        <w:ind w:left="0" w:right="0" w:firstLine="6720" w:firstLineChars="240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习近平</w:t>
      </w:r>
    </w:p>
    <w:p w14:paraId="3FE6EECA">
      <w:pPr>
        <w:autoSpaceDE/>
        <w:autoSpaceDN/>
        <w:spacing w:before="0" w:after="0" w:line="500" w:lineRule="exact"/>
        <w:ind w:left="0" w:right="880" w:rightChars="400"/>
        <w:jc w:val="right"/>
        <w:rPr>
          <w:rFonts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2024年10月24日</w:t>
      </w:r>
    </w:p>
    <w:p w14:paraId="10BF624C">
      <w:pPr>
        <w:autoSpaceDE/>
        <w:autoSpaceDN/>
        <w:spacing w:before="0" w:after="0" w:line="500" w:lineRule="exact"/>
        <w:ind w:left="0" w:right="0"/>
        <w:jc w:val="both"/>
        <w:rPr>
          <w:rFonts w:ascii="Times New Roman" w:hAnsi="Times New Roman" w:eastAsia="仿宋_GB2312" w:cs="Times New Roman"/>
          <w:kern w:val="2"/>
          <w:sz w:val="28"/>
          <w:szCs w:val="32"/>
        </w:rPr>
      </w:pPr>
    </w:p>
    <w:p w14:paraId="26E6D69C">
      <w:pPr>
        <w:widowControl/>
        <w:autoSpaceDE/>
        <w:autoSpaceDN/>
        <w:spacing w:before="0" w:after="0" w:line="500" w:lineRule="exact"/>
        <w:ind w:left="0" w:right="0"/>
        <w:jc w:val="left"/>
        <w:rPr>
          <w:rFonts w:ascii="Times New Roman" w:hAnsi="Times New Roman" w:eastAsia="黑体" w:cs="Times New Roman"/>
          <w:bCs/>
          <w:color w:val="000000"/>
          <w:kern w:val="0"/>
          <w:sz w:val="28"/>
          <w:szCs w:val="32"/>
        </w:rPr>
      </w:pPr>
      <w:r>
        <w:rPr>
          <w:rFonts w:ascii="Times New Roman" w:hAnsi="Times New Roman" w:eastAsia="黑体" w:cs="Times New Roman"/>
          <w:bCs/>
          <w:color w:val="000000"/>
          <w:kern w:val="0"/>
          <w:sz w:val="28"/>
          <w:szCs w:val="32"/>
        </w:rPr>
        <w:br w:type="page"/>
      </w:r>
    </w:p>
    <w:p w14:paraId="0F562A16">
      <w:pPr>
        <w:autoSpaceDE/>
        <w:autoSpaceDN/>
        <w:spacing w:before="0" w:after="0" w:line="500" w:lineRule="exact"/>
        <w:ind w:left="0" w:right="0"/>
        <w:jc w:val="both"/>
        <w:rPr>
          <w:rFonts w:ascii="Times New Roman" w:hAnsi="Times New Roman" w:eastAsia="黑体" w:cs="Times New Roman"/>
          <w:kern w:val="2"/>
          <w:sz w:val="28"/>
          <w:szCs w:val="32"/>
        </w:rPr>
      </w:pPr>
      <w:r>
        <w:rPr>
          <w:rFonts w:ascii="Times New Roman" w:hAnsi="Times New Roman" w:eastAsia="黑体" w:cs="Times New Roman"/>
          <w:kern w:val="2"/>
          <w:sz w:val="28"/>
          <w:szCs w:val="32"/>
        </w:rPr>
        <w:t>附件4</w:t>
      </w:r>
    </w:p>
    <w:p w14:paraId="0D39E71E">
      <w:pPr>
        <w:autoSpaceDE/>
        <w:autoSpaceDN/>
        <w:spacing w:before="0" w:after="156" w:afterLines="50" w:line="500" w:lineRule="exact"/>
        <w:ind w:left="0" w:right="0"/>
        <w:jc w:val="center"/>
        <w:rPr>
          <w:rFonts w:ascii="Times New Roman" w:hAnsi="Times New Roman" w:eastAsia="方正小标宋简体" w:cs="Times New Roman"/>
          <w:bCs/>
          <w:spacing w:val="-4"/>
          <w:kern w:val="2"/>
          <w:sz w:val="36"/>
          <w:szCs w:val="32"/>
        </w:rPr>
      </w:pPr>
      <w:r>
        <w:rPr>
          <w:rFonts w:hint="eastAsia" w:ascii="Times New Roman" w:hAnsi="Times New Roman" w:eastAsia="方正小标宋简体" w:cs="Times New Roman"/>
          <w:bCs/>
          <w:spacing w:val="-4"/>
          <w:kern w:val="2"/>
          <w:sz w:val="36"/>
          <w:szCs w:val="32"/>
        </w:rPr>
        <w:t>促进高质量充分就业</w:t>
      </w:r>
    </w:p>
    <w:p w14:paraId="474B89DF">
      <w:pPr>
        <w:autoSpaceDE/>
        <w:autoSpaceDN/>
        <w:spacing w:before="0" w:after="156" w:afterLines="50" w:line="500" w:lineRule="exact"/>
        <w:ind w:left="0" w:right="0"/>
        <w:jc w:val="center"/>
        <w:rPr>
          <w:rFonts w:ascii="Times New Roman" w:hAnsi="Times New Roman" w:eastAsia="楷体_GB2312" w:cs="Times New Roman"/>
          <w:kern w:val="2"/>
          <w:sz w:val="28"/>
          <w:szCs w:val="32"/>
        </w:rPr>
      </w:pPr>
      <w:r>
        <w:rPr>
          <w:rFonts w:ascii="Times New Roman" w:hAnsi="Times New Roman" w:eastAsia="楷体_GB2312" w:cs="Times New Roman"/>
          <w:kern w:val="2"/>
          <w:sz w:val="28"/>
          <w:szCs w:val="32"/>
        </w:rPr>
        <w:t>（</w:t>
      </w:r>
      <w:r>
        <w:rPr>
          <w:rFonts w:hint="eastAsia" w:ascii="Times New Roman" w:hAnsi="Times New Roman" w:eastAsia="楷体_GB2312" w:cs="Times New Roman"/>
          <w:kern w:val="2"/>
          <w:sz w:val="28"/>
          <w:szCs w:val="32"/>
        </w:rPr>
        <w:t xml:space="preserve">习近平总书记2024年5月27日在二十届中央政治局第十四次集体学习时讲话的主要部分 </w:t>
      </w:r>
      <w:r>
        <w:rPr>
          <w:rFonts w:ascii="Times New Roman" w:hAnsi="Times New Roman" w:eastAsia="楷体_GB2312" w:cs="Times New Roman"/>
          <w:kern w:val="2"/>
          <w:sz w:val="28"/>
          <w:szCs w:val="32"/>
        </w:rPr>
        <w:t>2024</w:t>
      </w:r>
      <w:r>
        <w:rPr>
          <w:rFonts w:hint="eastAsia" w:ascii="Times New Roman" w:hAnsi="Times New Roman" w:eastAsia="楷体_GB2312" w:cs="Times New Roman"/>
          <w:kern w:val="2"/>
          <w:sz w:val="28"/>
          <w:szCs w:val="32"/>
        </w:rPr>
        <w:t>年1</w:t>
      </w:r>
      <w:r>
        <w:rPr>
          <w:rFonts w:ascii="Times New Roman" w:hAnsi="Times New Roman" w:eastAsia="楷体_GB2312" w:cs="Times New Roman"/>
          <w:kern w:val="2"/>
          <w:sz w:val="28"/>
          <w:szCs w:val="32"/>
        </w:rPr>
        <w:t>1</w:t>
      </w:r>
      <w:r>
        <w:rPr>
          <w:rFonts w:hint="eastAsia" w:ascii="Times New Roman" w:hAnsi="Times New Roman" w:eastAsia="楷体_GB2312" w:cs="Times New Roman"/>
          <w:kern w:val="2"/>
          <w:sz w:val="28"/>
          <w:szCs w:val="32"/>
        </w:rPr>
        <w:t>月1日《求是》刊文</w:t>
      </w:r>
      <w:r>
        <w:rPr>
          <w:rFonts w:ascii="Times New Roman" w:hAnsi="Times New Roman" w:eastAsia="楷体_GB2312" w:cs="Times New Roman"/>
          <w:kern w:val="2"/>
          <w:sz w:val="28"/>
          <w:szCs w:val="32"/>
        </w:rPr>
        <w:t>）</w:t>
      </w:r>
    </w:p>
    <w:p w14:paraId="0C3784C0">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今天进行二十届中央政治局第十四次集体学习，内容是促进高质量充分就业，目的是结合学习贯彻党的二十大精神，总结新时代就业工作成就和经验，分析当前就业形势和面临的突出问题，研究促进高质量充分就业的思路和举措。</w:t>
      </w:r>
    </w:p>
    <w:p w14:paraId="21D7B498">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就业是最基本的民生，事关人民群众切身利益，事关经济社会健康发展，事关国家长治久安，我们党对此历来高度重视。党的十八大以来，党中央坚持把就业工作摆在治国理政的突出位置，强化就业优先政策，健全就业促进机制，有效应对外部压力、内部困难特别是新冠疫情带来的严峻挑战，城镇新增就业年均1300万人，城镇调查失业率保持较低水平，在14亿多人口的发展中大国实现了比较充分的就业，为民生改善和经济发展提供了重要支撑。在这个过程中，我们不断深化对新时代就业工作规律的认识，积累了许多经验，主要包括：坚持党对就业工作的全面领导，坚持把就业作为民生之本，坚持实施就业优先战略，坚持依靠发展促进就业，坚持扩大就业容量和提升就业质量相结合，坚持突出抓好重点群体就业，坚持创业带动就业，坚持营造公平就业环境，坚持构建和谐劳动关系，等等。这些经验十分宝贵，要长期坚持并不断丰富发展。</w:t>
      </w:r>
    </w:p>
    <w:p w14:paraId="03EFF239">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同时要看到，就业工作仍面临不少突出矛盾和问题。我国发展进入战略机遇和风险挑战并存、不确定难预料因素增多的时期，稳增长、稳就业的压力始终存在；人口发展少子化、老龄化、区域人口增减分化以及经济数字化转型等趋势对就业的影响逐步加深，结构性就业矛盾不断凸显；人民群众对高品质生活的需要日益增长，提升就业质量已经成为劳动者的迫切愿望。</w:t>
      </w:r>
    </w:p>
    <w:p w14:paraId="361F651A">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党的二十大科学把握就业形势新变化，顺应人民群众新期待，着眼扎实推进高质量发展和全体人民共同富裕，作出了促进高质量充分就业的重大部署。在宏观层面，高质量充分就业主要包括就业机会充分、就业环境公平、就业结构优化、人岗匹配高效、劳动关系和谐等；在微观层面，高质量充分就业主要表现为劳动者不仅有活干，而且工作稳定、收入合理、保障可靠、职业安全等。当然，这是一个很高的要求，也是一个循序渐进的过程，必须尽力而为、量力而行；必须充分调动人民群众的积极性主动性创造性，引导大家依靠努力奋斗创造幸福生活，不能不劳而获、坐享其成。</w:t>
      </w:r>
    </w:p>
    <w:p w14:paraId="0F0712BF">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促进高质量充分就业，是新时代新征程就业工作的新定位、新使命。要坚持以人民为中心的发展思想，全面贯彻劳动者自主就业、市场调节就业、政府促进就业和鼓励创业的方针，以推动高质量发展为基础，以实施就业优先战略为引领，以强化就业优先政策为抓手，以深化就业体制机制改革为动力，持续促进就业质的有效提升和量的合理增长，不断增强广大劳动者的获得感幸福感安全感，为以中国式现代化全面推进强国建设、民族复兴伟业提供有力支撑。这里，我着重强调5点。</w:t>
      </w:r>
    </w:p>
    <w:p w14:paraId="14885CCE">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黑体" w:hAnsi="黑体" w:eastAsia="黑体" w:cs="Times New Roman"/>
          <w:kern w:val="2"/>
          <w:sz w:val="28"/>
          <w:szCs w:val="32"/>
        </w:rPr>
        <w:t>第一，始终坚持就业优先。</w:t>
      </w:r>
      <w:r>
        <w:rPr>
          <w:rFonts w:hint="eastAsia" w:ascii="Times New Roman" w:hAnsi="Times New Roman" w:eastAsia="仿宋_GB2312" w:cs="Times New Roman"/>
          <w:kern w:val="2"/>
          <w:sz w:val="28"/>
          <w:szCs w:val="32"/>
        </w:rPr>
        <w:t>要坚定不移贯彻新发展理念，更加自觉地把高质量充分就业作为经济社会发展的优先目标，使高质量发展的过程成为就业提质扩容的过程，提高发展的就业带动力。因地制宜发展新质生产力，改造提升传统产业，培育壮大新兴产业，布局建设未来产业，完善现代化产业体系，努力创造更多高质量就业岗位。支持发展吸纳就业能力强的产业和企业，稳定和扩大就业容量。根据经济社会发展新趋势和人民群众高品质生活新期待，不断细化优化社会分工，大力发展新业态、新模式，积极挖掘、培育新的职业序列，开发新的就业增长点。要强化重大政策、重大项目、重大生产力布局对就业影响的评估，推动财政、货币、投资、消费、产业、区域等政策与就业政策协调联动、同向发力，构建就业友好型发展方式。</w:t>
      </w:r>
    </w:p>
    <w:p w14:paraId="155B510D">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黑体" w:hAnsi="黑体" w:eastAsia="黑体" w:cs="Times New Roman"/>
          <w:kern w:val="2"/>
          <w:sz w:val="28"/>
          <w:szCs w:val="32"/>
        </w:rPr>
        <w:t>第二，着力解决结构性就业矛盾。</w:t>
      </w:r>
      <w:r>
        <w:rPr>
          <w:rFonts w:hint="eastAsia" w:ascii="Times New Roman" w:hAnsi="Times New Roman" w:eastAsia="仿宋_GB2312" w:cs="Times New Roman"/>
          <w:kern w:val="2"/>
          <w:sz w:val="28"/>
          <w:szCs w:val="32"/>
        </w:rPr>
        <w:t>人力资源供需不匹配，是当前我国就业领域面临的主要矛盾。解决这一矛盾，关键在于加快塑造素质优良、总量充裕、结构优化、分布合理的现代化人力资源。要适应新一轮科技革命和产业变革，科学研判人力资源发展趋势，统筹抓好教育、培训和就业，动态调整高等教育专业和资源结构布局，大力发展职业教育，健全终身职业技能培训制度，推进职普融通、产教融合、科教融汇，增强人力资源开发的前瞻性、针对性、有效性。完善供需对接机制，力求做到人岗相适、用人所长、人尽其才，提升就业质量和稳定性。加强宣传教育，引导全社会牢固树立正确就业观，营造“职业无贵贱，劳动受尊重”、“三百六十行，行行出状元”、“基层就业，同样出彩”等有利于就业创业的良好舆论氛围和包容社会环境，以择业新观念打开就业新天地。深入分析一些行业出现较大用工缺口的原因，找到有效补缺办法，从破解“有活没人干”入手，解决“有人没活干”的问题。</w:t>
      </w:r>
    </w:p>
    <w:p w14:paraId="239D3C77">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黑体" w:hAnsi="黑体" w:eastAsia="黑体" w:cs="Times New Roman"/>
          <w:kern w:val="2"/>
          <w:sz w:val="28"/>
          <w:szCs w:val="32"/>
        </w:rPr>
        <w:t>第三，完善重点群体就业支持政策。</w:t>
      </w:r>
      <w:r>
        <w:rPr>
          <w:rFonts w:hint="eastAsia" w:ascii="Times New Roman" w:hAnsi="Times New Roman" w:eastAsia="仿宋_GB2312" w:cs="Times New Roman"/>
          <w:kern w:val="2"/>
          <w:sz w:val="28"/>
          <w:szCs w:val="32"/>
        </w:rPr>
        <w:t>要坚持把高校毕业生等青年群体就业作为重中之重，开发更多有利于发挥所学所长的就业岗位，鼓励青年投身重点领域、重点行业、城乡基层和中小微企业就业创业，拓宽市场化社会化就业渠道，确保青年就业水平总体平稳。结合推进新型城镇化和乡村全面振兴，坚持外出就业和就地就近就业并重，多措并举促进农民工就业，着重引导外出人才返乡、城市人才下乡创业。稳定脱贫人口务工规模和务工收入，防止因失业导致规模性返贫。加强对大龄、残疾、较长时间失业等就业困难群体的帮扶，落实就业援助措施，统筹用好公益性岗位，确保零就业家庭动态清零。做好退役军人、妇女等群体就业工作。</w:t>
      </w:r>
    </w:p>
    <w:p w14:paraId="028D51E9">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黑体" w:hAnsi="黑体" w:eastAsia="黑体" w:cs="Times New Roman"/>
          <w:kern w:val="2"/>
          <w:sz w:val="28"/>
          <w:szCs w:val="32"/>
        </w:rPr>
        <w:t>第四，深化就业体制机制改革。</w:t>
      </w:r>
      <w:r>
        <w:rPr>
          <w:rFonts w:hint="eastAsia" w:ascii="Times New Roman" w:hAnsi="Times New Roman" w:eastAsia="仿宋_GB2312" w:cs="Times New Roman"/>
          <w:kern w:val="2"/>
          <w:sz w:val="28"/>
          <w:szCs w:val="32"/>
        </w:rPr>
        <w:t>要充分发挥市场在人力资源配置中的决定性作用，更好发挥政府作用，着力解决制约提升就业质量、扩大就业容量、优化就业结构的卡点堵点问题。完善就业公共服务制度，打造覆盖全民、贯穿全程、辐射全域、便捷高效的全方位就业公共服务体系，提高就业公共服务可及性和均等化、专业化水平。完善促进创业带动就业的保障制度，优化创业服务，提升创业质量。健全统一规范的人力资源市场体系，营造公平就业环境，坚决破除影响劳动力、人才流动的体制机制障碍，使人人都有通过辛勤努力实现自身发展的机会。</w:t>
      </w:r>
    </w:p>
    <w:p w14:paraId="094936DA">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黑体" w:hAnsi="黑体" w:eastAsia="黑体" w:cs="Times New Roman"/>
          <w:kern w:val="2"/>
          <w:sz w:val="28"/>
          <w:szCs w:val="32"/>
        </w:rPr>
        <w:t>第五，加强劳动者权益保障。</w:t>
      </w:r>
      <w:r>
        <w:rPr>
          <w:rFonts w:hint="eastAsia" w:ascii="Times New Roman" w:hAnsi="Times New Roman" w:eastAsia="仿宋_GB2312" w:cs="Times New Roman"/>
          <w:kern w:val="2"/>
          <w:sz w:val="28"/>
          <w:szCs w:val="32"/>
        </w:rPr>
        <w:t>要健全劳动法律法规，规范新就业形态劳动基准，完善社会保障体系，维护劳动者在劳动报酬、休息休假、劳动安全、技能培训、社会保险和福利等方面的合法权益。加强灵活就业和新就业形态劳动者权益保障，扩大职业伤害保障试点，及时总结经验、形成制度。加强市场监管和劳动保障监察执法，有效治理就业歧视、欠薪欠保、违法裁员等乱象。</w:t>
      </w:r>
    </w:p>
    <w:p w14:paraId="1F95C8B7">
      <w:pPr>
        <w:autoSpaceDE/>
        <w:autoSpaceDN/>
        <w:spacing w:before="0" w:after="0" w:line="500" w:lineRule="exact"/>
        <w:ind w:left="0" w:right="0" w:firstLine="560" w:firstLineChars="200"/>
        <w:jc w:val="both"/>
        <w:rPr>
          <w:rFonts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就业是家事，更是国事。各级党委和政府要把就业当作民生头等大事来抓，加强组织领导，健全制度机制，增强工作合力。要加快建构中国就业理论体系，积极讲好中国就业故事，有效提升我国在就业领域的国际话语权和影响力。</w:t>
      </w:r>
    </w:p>
    <w:p w14:paraId="4F8DF72F">
      <w:pPr>
        <w:spacing w:line="500" w:lineRule="exact"/>
        <w:rPr>
          <w:rFonts w:ascii="Times New Roman" w:hAnsi="Times New Roman" w:eastAsia="黑体" w:cs="Times New Roman"/>
          <w:sz w:val="28"/>
          <w:szCs w:val="32"/>
        </w:rPr>
        <w:sectPr>
          <w:pgSz w:w="11906" w:h="16838"/>
          <w:pgMar w:top="1440" w:right="1418" w:bottom="1440" w:left="1418" w:header="850" w:footer="992" w:gutter="0"/>
          <w:cols w:space="425" w:num="1"/>
          <w:docGrid w:type="lines" w:linePitch="312" w:charSpace="0"/>
        </w:sectPr>
      </w:pPr>
    </w:p>
    <w:p w14:paraId="3494EA0D">
      <w:pPr>
        <w:autoSpaceDE/>
        <w:autoSpaceDN/>
        <w:spacing w:before="0" w:after="0" w:line="500" w:lineRule="exact"/>
        <w:ind w:left="0" w:right="0"/>
        <w:jc w:val="both"/>
        <w:rPr>
          <w:rFonts w:ascii="Times New Roman" w:hAnsi="Times New Roman" w:eastAsia="黑体" w:cs="Times New Roman"/>
          <w:kern w:val="2"/>
          <w:sz w:val="28"/>
          <w:szCs w:val="32"/>
        </w:rPr>
      </w:pPr>
      <w:r>
        <w:rPr>
          <w:rFonts w:ascii="Times New Roman" w:hAnsi="Times New Roman" w:eastAsia="黑体" w:cs="Times New Roman"/>
          <w:kern w:val="2"/>
          <w:sz w:val="28"/>
          <w:szCs w:val="32"/>
        </w:rPr>
        <w:t>附件5</w:t>
      </w:r>
    </w:p>
    <w:p w14:paraId="1325FB04">
      <w:pPr>
        <w:autoSpaceDE/>
        <w:autoSpaceDN/>
        <w:spacing w:before="0" w:after="156" w:afterLines="50" w:line="500" w:lineRule="exact"/>
        <w:ind w:left="0" w:right="0"/>
        <w:jc w:val="center"/>
        <w:rPr>
          <w:rFonts w:ascii="Times New Roman" w:hAnsi="Times New Roman" w:eastAsia="方正小标宋简体" w:cs="Times New Roman"/>
          <w:bCs/>
          <w:spacing w:val="-10"/>
          <w:kern w:val="2"/>
          <w:sz w:val="36"/>
          <w:szCs w:val="32"/>
        </w:rPr>
      </w:pPr>
      <w:r>
        <w:rPr>
          <w:rFonts w:hint="eastAsia" w:ascii="Times New Roman" w:hAnsi="Times New Roman" w:eastAsia="方正小标宋简体" w:cs="Times New Roman"/>
          <w:bCs/>
          <w:spacing w:val="-10"/>
          <w:kern w:val="2"/>
          <w:sz w:val="36"/>
          <w:szCs w:val="32"/>
        </w:rPr>
        <w:t xml:space="preserve">锚定建成文化强国战略目标 </w:t>
      </w:r>
    </w:p>
    <w:p w14:paraId="29E56F6F">
      <w:pPr>
        <w:autoSpaceDE/>
        <w:autoSpaceDN/>
        <w:spacing w:before="0" w:after="156" w:afterLines="50" w:line="500" w:lineRule="exact"/>
        <w:ind w:left="0" w:right="0"/>
        <w:jc w:val="center"/>
        <w:rPr>
          <w:rFonts w:ascii="Times New Roman" w:hAnsi="Times New Roman" w:eastAsia="方正小标宋简体" w:cs="Times New Roman"/>
          <w:bCs/>
          <w:spacing w:val="-10"/>
          <w:kern w:val="2"/>
          <w:sz w:val="36"/>
          <w:szCs w:val="32"/>
        </w:rPr>
      </w:pPr>
      <w:r>
        <w:rPr>
          <w:rFonts w:hint="eastAsia" w:ascii="Times New Roman" w:hAnsi="Times New Roman" w:eastAsia="方正小标宋简体" w:cs="Times New Roman"/>
          <w:bCs/>
          <w:spacing w:val="-10"/>
          <w:kern w:val="2"/>
          <w:sz w:val="36"/>
          <w:szCs w:val="32"/>
        </w:rPr>
        <w:t>不断发展新时代中国特色社会主义文化</w:t>
      </w:r>
    </w:p>
    <w:p w14:paraId="4B1C6C8D">
      <w:pPr>
        <w:autoSpaceDE/>
        <w:autoSpaceDN/>
        <w:spacing w:before="0" w:after="156" w:afterLines="50" w:line="500" w:lineRule="exact"/>
        <w:ind w:left="0" w:right="0"/>
        <w:jc w:val="center"/>
        <w:rPr>
          <w:rFonts w:ascii="Times New Roman" w:hAnsi="Times New Roman" w:eastAsia="楷体_GB2312" w:cs="Times New Roman"/>
          <w:kern w:val="2"/>
          <w:sz w:val="28"/>
          <w:szCs w:val="32"/>
        </w:rPr>
      </w:pPr>
      <w:r>
        <w:rPr>
          <w:rFonts w:ascii="Times New Roman" w:hAnsi="Times New Roman" w:eastAsia="楷体_GB2312" w:cs="Times New Roman"/>
          <w:kern w:val="2"/>
          <w:sz w:val="28"/>
          <w:szCs w:val="32"/>
        </w:rPr>
        <w:t>（</w:t>
      </w:r>
      <w:r>
        <w:rPr>
          <w:rFonts w:hint="eastAsia" w:ascii="Times New Roman" w:hAnsi="Times New Roman" w:eastAsia="楷体_GB2312" w:cs="Times New Roman"/>
          <w:kern w:val="2"/>
          <w:sz w:val="28"/>
          <w:szCs w:val="32"/>
        </w:rPr>
        <w:t>习近平总书记2024年</w:t>
      </w:r>
      <w:r>
        <w:rPr>
          <w:rFonts w:ascii="Times New Roman" w:hAnsi="Times New Roman" w:eastAsia="楷体_GB2312" w:cs="Times New Roman"/>
          <w:kern w:val="2"/>
          <w:sz w:val="28"/>
          <w:szCs w:val="32"/>
        </w:rPr>
        <w:t>10</w:t>
      </w:r>
      <w:r>
        <w:rPr>
          <w:rFonts w:hint="eastAsia" w:ascii="Times New Roman" w:hAnsi="Times New Roman" w:eastAsia="楷体_GB2312" w:cs="Times New Roman"/>
          <w:kern w:val="2"/>
          <w:sz w:val="28"/>
          <w:szCs w:val="32"/>
        </w:rPr>
        <w:t>月</w:t>
      </w:r>
      <w:r>
        <w:rPr>
          <w:rFonts w:ascii="Times New Roman" w:hAnsi="Times New Roman" w:eastAsia="楷体_GB2312" w:cs="Times New Roman"/>
          <w:kern w:val="2"/>
          <w:sz w:val="28"/>
          <w:szCs w:val="32"/>
        </w:rPr>
        <w:t>28</w:t>
      </w:r>
      <w:r>
        <w:rPr>
          <w:rFonts w:hint="eastAsia" w:ascii="Times New Roman" w:hAnsi="Times New Roman" w:eastAsia="楷体_GB2312" w:cs="Times New Roman"/>
          <w:kern w:val="2"/>
          <w:sz w:val="28"/>
          <w:szCs w:val="32"/>
        </w:rPr>
        <w:t>日在中共中央政治局第十七次集体学习时的重要讲话精神</w:t>
      </w:r>
      <w:r>
        <w:rPr>
          <w:rFonts w:ascii="Times New Roman" w:hAnsi="Times New Roman" w:eastAsia="楷体_GB2312" w:cs="Times New Roman"/>
          <w:kern w:val="2"/>
          <w:sz w:val="28"/>
          <w:szCs w:val="32"/>
        </w:rPr>
        <w:t>）</w:t>
      </w:r>
    </w:p>
    <w:p w14:paraId="21DBACB3">
      <w:pPr>
        <w:autoSpaceDE/>
        <w:autoSpaceDN/>
        <w:spacing w:before="0" w:after="0" w:line="500" w:lineRule="exact"/>
        <w:ind w:left="0" w:right="0" w:firstLine="560" w:firstLineChars="20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中共中央政治局10月28日下午就建设文化强国进行第十七次集体学习。中共中央总书记习近平在主持学习时强调，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72095737">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北京大学副校长、教授王博同志就这个问题进行讲解，提出工作建议。中央政治局的同志认真听取讲解，并进行了讨论。</w:t>
      </w:r>
    </w:p>
    <w:p w14:paraId="645205B9">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习近平在听取讲解和讨论后发表了重要讲话。他指出，党的十八大以来，我们坚持把文化建设摆在治国理政突出位置，作出一系列重大部署，形成新时代中国特色社会主义文化思想，推动文化建设在正本清源、守正创新中取得历史性成就，社会主义文化强国建设迈出坚实步伐。</w:t>
      </w:r>
    </w:p>
    <w:p w14:paraId="6A723D88">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习近平强调，</w:t>
      </w:r>
      <w:r>
        <w:rPr>
          <w:rFonts w:hint="eastAsia" w:ascii="Times New Roman" w:hAnsi="Times New Roman" w:eastAsia="仿宋_GB2312" w:cs="Times New Roman"/>
          <w:kern w:val="2"/>
          <w:sz w:val="28"/>
          <w:szCs w:val="32"/>
        </w:rPr>
        <w:t>要坚定不移走中国特色社会主义文化发展道路。坚持党的领导，提升信息化条件下文化领域治理能力，在思想上、精神上、文化上筑牢党的执政基础和群众基础。坚持马克思主义在意识形态领域指导地位的根本制度，全面贯彻新时代中国特色社会主义文化思想，发展面向现代化、面向世界、面向未来的，民族的科学的大众的社会主义文化。坚持以社会主义核心价值观为引领，不断构筑中国精神、中国价值、中国力量，发展壮大主流价值、主流舆论、主流文化。</w:t>
      </w:r>
    </w:p>
    <w:p w14:paraId="491B6798">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习近平指出，</w:t>
      </w:r>
      <w:r>
        <w:rPr>
          <w:rFonts w:hint="eastAsia" w:ascii="Times New Roman" w:hAnsi="Times New Roman" w:eastAsia="仿宋_GB2312" w:cs="Times New Roman"/>
          <w:kern w:val="2"/>
          <w:sz w:val="28"/>
          <w:szCs w:val="32"/>
        </w:rPr>
        <w:t>要着力激发全民族文化创新创造活力。坚持以人民为中心的创作导向，坚持把社会效益放在首位、社会效益与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积极营造良好文化生态，充分发扬学术民主、文艺民主，支持作家、艺术家和专家学者扎根生活、潜心创作，推动文化创新创造活力持续迸发。探索文化和科技融合的有效机制，实现文化建设数字化赋能、信息化转型，把文化资源优势转化为文化发展优势。</w:t>
      </w:r>
    </w:p>
    <w:p w14:paraId="4E50965F">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习近平强调，</w:t>
      </w:r>
      <w:r>
        <w:rPr>
          <w:rFonts w:hint="eastAsia" w:ascii="Times New Roman" w:hAnsi="Times New Roman" w:eastAsia="仿宋_GB2312" w:cs="Times New Roman"/>
          <w:kern w:val="2"/>
          <w:sz w:val="28"/>
          <w:szCs w:val="32"/>
        </w:rPr>
        <w:t>要始终坚持文化建设着眼于人、落脚于人。着眼满足人民群众多样化、多层次、多方面的精神文化需求，提升文化服务和文化产品供给能力，增强人民群众文化获得感、幸福感。重视发挥文化养心志、育情操的作用，涵养全民族昂扬奋发的精神气质。尊重人才成长规律，完善符合文化领域特点的人才选拔、培养、使用、激励机制，营造识才、重才、爱才的良好政策环境，建设一支规模宏大、结构合理、锐意创新的高水平文化人才队伍。</w:t>
      </w:r>
    </w:p>
    <w:p w14:paraId="525F2AEA">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习近平指出，</w:t>
      </w:r>
      <w:r>
        <w:rPr>
          <w:rFonts w:hint="eastAsia" w:ascii="Times New Roman" w:hAnsi="Times New Roman" w:eastAsia="仿宋_GB2312" w:cs="Times New Roman"/>
          <w:kern w:val="2"/>
          <w:sz w:val="28"/>
          <w:szCs w:val="32"/>
        </w:rPr>
        <w:t>要在创造性转化和创新性发展中赓续中华文脉。高扬中华民族的文化主体性，把历经沧桑留下的中华文明瑰宝呵护好、弘扬好、发展好。深入挖掘和阐发中华优秀传统文化的精神内涵，用马克思主义激活中华传统文化中的优秀因子并赋予其新的时代内涵，发展新时代中国特色社会主义文化。秉持敬畏历史、热爱文化之心，坚持保护第一、合理利用和最小干预原则，推动文化遗产系统性保护和统一监管。健全文化遗产保护传承体制机制，加快完善法规制度体系。</w:t>
      </w:r>
    </w:p>
    <w:p w14:paraId="09F94172">
      <w:pPr>
        <w:autoSpaceDE/>
        <w:autoSpaceDN/>
        <w:spacing w:before="0" w:after="0" w:line="500" w:lineRule="exact"/>
        <w:ind w:left="0" w:right="0"/>
        <w:jc w:val="both"/>
        <w:rPr>
          <w:rFonts w:hint="eastAsia"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习近平强调，</w:t>
      </w:r>
      <w:r>
        <w:rPr>
          <w:rFonts w:hint="eastAsia" w:ascii="Times New Roman" w:hAnsi="Times New Roman" w:eastAsia="仿宋_GB2312" w:cs="Times New Roman"/>
          <w:kern w:val="2"/>
          <w:sz w:val="28"/>
          <w:szCs w:val="32"/>
        </w:rPr>
        <w:t>要不断提升国家文化软实力和中华文化影响力。推进国际传播格局重构，创新开展网络外宣，构建多渠道、立体式对外传播格局。更加主动地宣介中国主张、传播中华文化、展示中国形象。广泛开展形式多样的国际人文交流合作。更加积极主动地学习借鉴人类一切优秀文明成果，创造一批熔铸古今、汇通中外的文化成果。</w:t>
      </w:r>
    </w:p>
    <w:p w14:paraId="35AE7C8A">
      <w:pPr>
        <w:autoSpaceDE/>
        <w:autoSpaceDN/>
        <w:spacing w:before="0" w:after="0" w:line="500" w:lineRule="exact"/>
        <w:ind w:left="0" w:right="0"/>
        <w:jc w:val="both"/>
        <w:rPr>
          <w:rFonts w:ascii="Times New Roman" w:hAnsi="Times New Roman" w:eastAsia="仿宋_GB2312" w:cs="Times New Roman"/>
          <w:kern w:val="2"/>
          <w:sz w:val="28"/>
          <w:szCs w:val="32"/>
        </w:rPr>
      </w:pPr>
      <w:r>
        <w:rPr>
          <w:rFonts w:hint="eastAsia" w:ascii="Times New Roman" w:hAnsi="Times New Roman" w:eastAsia="仿宋_GB2312" w:cs="Times New Roman"/>
          <w:kern w:val="2"/>
          <w:sz w:val="28"/>
          <w:szCs w:val="32"/>
        </w:rPr>
        <w:t>　　</w:t>
      </w:r>
      <w:r>
        <w:rPr>
          <w:rFonts w:hint="eastAsia" w:ascii="黑体" w:hAnsi="黑体" w:eastAsia="黑体" w:cs="Times New Roman"/>
          <w:kern w:val="2"/>
          <w:sz w:val="28"/>
          <w:szCs w:val="32"/>
        </w:rPr>
        <w:t>习近平最后强调，</w:t>
      </w:r>
      <w:r>
        <w:rPr>
          <w:rFonts w:hint="eastAsia" w:ascii="Times New Roman" w:hAnsi="Times New Roman" w:eastAsia="仿宋_GB2312" w:cs="Times New Roman"/>
          <w:kern w:val="2"/>
          <w:sz w:val="28"/>
          <w:szCs w:val="32"/>
        </w:rPr>
        <w:t>建设文化强国是全党全社会的共同任务。要加强党中央对宣传思想文化工作的集中统一领导，完善文化建设领导管理体制机制。各级党委和政府要切实加强组织领导，做好干部配备、人才培养、资源投入等工作，调动各方面积极性主动性创造性，汇聚起文化强国建设的强大合力。</w:t>
      </w:r>
    </w:p>
    <w:p w14:paraId="60B76E19">
      <w:pPr>
        <w:spacing w:line="500" w:lineRule="exact"/>
        <w:rPr>
          <w:rFonts w:ascii="Times New Roman" w:hAnsi="Times New Roman" w:eastAsia="黑体" w:cs="Times New Roman"/>
          <w:sz w:val="28"/>
          <w:szCs w:val="32"/>
        </w:rPr>
        <w:sectPr>
          <w:pgSz w:w="11906" w:h="16838"/>
          <w:pgMar w:top="1440" w:right="1418" w:bottom="1440" w:left="1418" w:header="850" w:footer="992" w:gutter="0"/>
          <w:cols w:space="425" w:num="1"/>
          <w:docGrid w:type="lines" w:linePitch="312" w:charSpace="0"/>
        </w:sectPr>
      </w:pPr>
    </w:p>
    <w:p w14:paraId="2A38A22C">
      <w:pPr>
        <w:autoSpaceDE/>
        <w:autoSpaceDN/>
        <w:spacing w:before="0" w:after="0" w:line="500" w:lineRule="exact"/>
        <w:ind w:left="0" w:right="0"/>
        <w:jc w:val="both"/>
        <w:rPr>
          <w:rFonts w:ascii="Times New Roman" w:hAnsi="Times New Roman" w:eastAsia="黑体" w:cs="Times New Roman"/>
          <w:kern w:val="2"/>
          <w:sz w:val="28"/>
          <w:szCs w:val="32"/>
        </w:rPr>
      </w:pPr>
      <w:r>
        <w:rPr>
          <w:rFonts w:ascii="Times New Roman" w:hAnsi="Times New Roman" w:eastAsia="黑体" w:cs="Times New Roman"/>
          <w:kern w:val="2"/>
          <w:sz w:val="28"/>
          <w:szCs w:val="32"/>
        </w:rPr>
        <w:t>附件6</w:t>
      </w:r>
    </w:p>
    <w:p w14:paraId="19F38E8F">
      <w:pPr>
        <w:autoSpaceDE/>
        <w:autoSpaceDN/>
        <w:spacing w:before="0" w:after="156" w:afterLines="50" w:line="500" w:lineRule="exact"/>
        <w:ind w:left="0" w:right="0"/>
        <w:jc w:val="center"/>
        <w:rPr>
          <w:rFonts w:ascii="Times New Roman" w:hAnsi="Times New Roman" w:eastAsia="方正小标宋简体" w:cs="Times New Roman"/>
          <w:bCs/>
          <w:spacing w:val="-4"/>
          <w:kern w:val="2"/>
          <w:sz w:val="36"/>
          <w:szCs w:val="32"/>
        </w:rPr>
      </w:pPr>
      <w:r>
        <w:rPr>
          <w:rFonts w:hint="eastAsia" w:ascii="Times New Roman" w:hAnsi="Times New Roman" w:eastAsia="方正小标宋简体" w:cs="Times New Roman"/>
          <w:bCs/>
          <w:spacing w:val="-4"/>
          <w:kern w:val="2"/>
          <w:sz w:val="36"/>
          <w:szCs w:val="32"/>
        </w:rPr>
        <w:t>工业和信息化部 教育部 科技部</w:t>
      </w:r>
    </w:p>
    <w:p w14:paraId="54CC8C59">
      <w:pPr>
        <w:autoSpaceDE/>
        <w:autoSpaceDN/>
        <w:spacing w:before="0" w:after="156" w:afterLines="50" w:line="500" w:lineRule="exact"/>
        <w:ind w:left="0" w:right="0"/>
        <w:jc w:val="center"/>
        <w:rPr>
          <w:rFonts w:ascii="Times New Roman" w:hAnsi="Times New Roman" w:eastAsia="方正小标宋简体" w:cs="Times New Roman"/>
          <w:bCs/>
          <w:spacing w:val="-4"/>
          <w:kern w:val="2"/>
          <w:sz w:val="36"/>
          <w:szCs w:val="32"/>
        </w:rPr>
      </w:pPr>
      <w:r>
        <w:rPr>
          <w:rFonts w:hint="eastAsia" w:ascii="Times New Roman" w:hAnsi="Times New Roman" w:eastAsia="方正小标宋简体" w:cs="Times New Roman"/>
          <w:bCs/>
          <w:spacing w:val="-4"/>
          <w:kern w:val="2"/>
          <w:sz w:val="36"/>
          <w:szCs w:val="32"/>
        </w:rPr>
        <w:t>关于向“时代楷模”</w:t>
      </w:r>
      <w:bookmarkStart w:id="0" w:name="_GoBack"/>
      <w:bookmarkEnd w:id="0"/>
      <w:r>
        <w:rPr>
          <w:rFonts w:hint="eastAsia" w:ascii="Times New Roman" w:hAnsi="Times New Roman" w:eastAsia="方正小标宋简体" w:cs="Times New Roman"/>
          <w:bCs/>
          <w:spacing w:val="-4"/>
          <w:kern w:val="2"/>
          <w:sz w:val="36"/>
          <w:szCs w:val="32"/>
        </w:rPr>
        <w:t>杨士莪同志学习的决定</w:t>
      </w:r>
    </w:p>
    <w:p w14:paraId="08C071F2">
      <w:pPr>
        <w:autoSpaceDE/>
        <w:autoSpaceDN/>
        <w:spacing w:before="0" w:after="0" w:line="500" w:lineRule="exact"/>
        <w:ind w:left="0" w:right="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各省、自治区、直辖市和新疆生产建设兵团工业和信息化、教育、科技主管部门，部属各高等学校、部省合建各高等学校，各有关单位:</w:t>
      </w:r>
    </w:p>
    <w:p w14:paraId="53FE0368">
      <w:pPr>
        <w:autoSpaceDE/>
        <w:autoSpaceDN/>
        <w:spacing w:before="0" w:after="0" w:line="500" w:lineRule="exact"/>
        <w:ind w:left="0" w:right="0"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杨士莪，男，汉族，1931年生，河南南阳人，中共党员，中国工程院院士、哈尔滨工程大学教授，中国水声工程学科莫基人和水声科技事业开拓者之一。杨士莪同志75年如一日，聚焦国家重大战略需求，带领科研团队创建了我国首个理工结合、配套完整、覆盖全面的水声工程专业；完成了“东风五号”洲际导弹落点水声测量系统等一系列具有国际水平的水声定位系统研制工作，为“蛟龙号”载人潜水器的定位系统研制奠定坚实基础；主持设计建造了我国首个“重力式低噪声水洞”，领导关键技术的基础研究；完成我国首次独立大型深海水声综合考察，引领中国水声走向深海，为加快建设海洋强国作出突出贡献。曾荣获“全国教书育人楷模”“龙江楷模”等称号。2024年3月逝世，享年93岁。2024年9月19日，中共中央宣传部发布决定，追授杨士莪同志“时代楷模”称号。</w:t>
      </w:r>
    </w:p>
    <w:p w14:paraId="40E9FE91">
      <w:pPr>
        <w:autoSpaceDE/>
        <w:autoSpaceDN/>
        <w:spacing w:before="0" w:after="0" w:line="500" w:lineRule="exact"/>
        <w:ind w:left="0" w:right="0"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杨士莪同志用一生的坚守和付出生动诠释了对党的忠诚、对祖国的热爱、对事业的执着，是爱党报国、倾听海洋声音的杰出科学家，是推进教育强国、科技强国、人才强国建设的先锋模范，是为党育人、为国育才的优秀代表。为学习宣传杨士莪同志先进事迹，大力弘扬科学家精神、教育家精神，激励广大科技工作者、教育工作者、工程技术人员等以“时代楷模”为榜样，在加快建设教育强国、科技强国、人才强国中当先锋、作表率，工业和信息化部、教育部、科技部决定开展向杨士莪同志学习活动。</w:t>
      </w:r>
    </w:p>
    <w:p w14:paraId="0A5AE3BE">
      <w:pPr>
        <w:autoSpaceDE/>
        <w:autoSpaceDN/>
        <w:spacing w:before="0" w:after="0" w:line="500" w:lineRule="exact"/>
        <w:ind w:left="0" w:right="0"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学习杨士莪同志以坚定的理想追求笃行报国之志。杨士莪同志青少年时期就立下了“读书是为了救国和报国”的铮铮誓言，始终把祖国需要作为人生奋斗目标。1950年，他响应党中央号召，从清华大学肄业参军。1952年12月，作为第一批教员，奉调参与新中国首个综合性高等军事工程技术院校--中国人民解放军军事工程学院（哈军工）筹建。1956年，受学校委派去苏联学习国家急需的水声学，他从物理改行研究水声专业，从头学起。1960年，他回国在哈军工创建了我国第一个理工结合、为国家战略服务的综合性水声工程专业。他始终把个人发展与国家需要紧密联系在一起，70余年扎根东北，潜心水声，引领中国水声学科从无到有、从弱到强、从常规到精专。学习杨士莪同志，就要像他一样始终听党话、跟党走，胸怀祖国、志存高远把个人的理想追求融入党和国家事业之中，在推进强国建设、民族复兴伟业中展现作为、贡献力量，奋力书写为中国式现代化挺膺担当的新篇章。</w:t>
      </w:r>
    </w:p>
    <w:p w14:paraId="265AF61A">
      <w:pPr>
        <w:autoSpaceDE/>
        <w:autoSpaceDN/>
        <w:spacing w:before="0" w:after="0" w:line="500" w:lineRule="exact"/>
        <w:ind w:left="0" w:right="0"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学习杨士莪同志以强烈的使命担当勇攀科技高峰。杨士莪同志带领团队始终瞄准世界科技前沿和国家重大需求，全力投身水声科学研究，攻克了一系列关键核心技术，推动实现了重大创新突破，用毕生心血为中国水声事业发展作出了突出贡献。1970年至1980年，杨士莪同志领导研制完成中国第一代洲际导弹“东风五号”海上落点水声定位系统，为洲际导弹全程飞行试验取得成功作出重要贡献，同时填补了深海水声传播研究和深海水声设备的空白，为国家海洋工程技术提供了宝贵经验。1994年，杨士莪同志作为考察队长和首席科学家，带领团队完成我国科学家首次独立指挥和实施的大型深海水声综合考察任务，迈出了中国水声界从浅海走向深海的第一步。他常说:“真正尖端的技术想从国外学，想从国外买，是做不到的，只能自己干。这是一个国家一个民族的骨气!”学习杨士莪同志，就要像他一样积极响应党的号召，坚守初心、担当使命，勇攀高峰、敢为人先，自力更生、艰苦奋斗，推进高水平科技自立自强，把科技命脉和发展主动权牢牢掌握在自己手中。</w:t>
      </w:r>
    </w:p>
    <w:p w14:paraId="4687375B">
      <w:pPr>
        <w:autoSpaceDE/>
        <w:autoSpaceDN/>
        <w:spacing w:before="0" w:after="0" w:line="500" w:lineRule="exact"/>
        <w:ind w:left="0" w:right="0"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学习杨士莪同志以严谨的治学态度矢志求是创新。杨士莪同志始终坚持“做人做事做学问，为船为海为国防”的治学和育人理念，总是走在中国水声科研教学的最前列，在制定我国水声发展规划、确定水声学科研究方向、指导和促进我国重大水声科研和工程项目中发挥了关键作用。杨士莪同志始终默默坚守在海试一线，为“蛟龙号”载人潜水器的定位系统研制莫定基础，主持设计并建造中国首个针对声学研究的“重力式低噪声水洞”，坚持亲自参加科研项目，每项工作都亲自过问、现场解决，带领团队为我国万里海疆装上“耳朵”，牢牢筑起了一道坚不可摧的“水下长城”。杨士莪同志作为中国首批博士生导师，推出了国际上最早集中论述水下噪声机理的著作《水下噪声原理》，国内最早的声学理论著作《声学原理》，以及《水声传播原理》等课程和教材，建立了首批国家重点学科、首个水声博士后科研流动站、首批水声技术国家重点实验室。学习杨士莪同志，就要像他一样严谨治学、潜心研究，不务虚功、干在实处，面向世界科技前沿、面向经济主战场、面向国家重大需求、面向人民生命健康，瞄准未来科技和产业发展制高点，推动科技创新和产业创新深度融合，培育发展新质生产力，创造出无愧时代、不负人民的新业绩。</w:t>
      </w:r>
    </w:p>
    <w:p w14:paraId="3B39C6C1">
      <w:pPr>
        <w:autoSpaceDE/>
        <w:autoSpaceDN/>
        <w:spacing w:before="0" w:after="0" w:line="500" w:lineRule="exact"/>
        <w:ind w:left="0" w:right="0"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学习杨士莪同志以高尚的道德情操倾心育人育才。杨士莪同志潜心立德树人、注重言传身教，年过90仍坚持为学生授课，每一堂课都精心准备，讲课从不坐着，被称为“一站到底”的“90后院士”。他教导学生“爱祖国、爱土地、爱人民，永远跟着时代前进，只要是国家和人民需要，都是值得做的。”他甘为人梯、奖掖后学，从教70余载，培养了一批能够挑大梁、担重任的科技人才，我国水声领域多位院士都曾受教于他，国内大批水声行业专家都是由他的团队培养的。杨士莪同志一生淡泊名利、无私奉献，出资设立助学基金支持家乡教育和母校重庆南开中学发展，捐赠“水声教育基金”致力于水声专业人才培养。学习杨士莪同志，就要像他一样坚持为党育人、为国育才，坚定心有大我、至诚报国的理想信念，陶冶言为士则、行为世范的道德情操，涵养启智润心、因材施教的育人智慧，秉持勤学笃行、求是创新的躬耕态度，勤修乐教爱生、甘于奉献的仁爱之心，树立胸怀天下、以文化人的弘道追求，培养德智体美劳全面发展的社会主义建设者和接班人。</w:t>
      </w:r>
    </w:p>
    <w:p w14:paraId="66AE8CBB">
      <w:pPr>
        <w:autoSpaceDE/>
        <w:autoSpaceDN/>
        <w:spacing w:before="0" w:after="0" w:line="500" w:lineRule="exact"/>
        <w:ind w:left="0" w:right="0"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2023年9月7日，习近平总书记视察哈尔滨工程大学时强调，要发扬“哈军工”优良传统，紧贴强国强军需要，抓好教育、科技、人才工作，为建设教育强国、科技强国、人才强国再立新功。当前和今后一个时期是以中国式现代化全面推进强国建设、民族复兴伟业的关键时期。伟大时代孕育伟大精神，伟大精神引领伟大事业。深入实施科教兴国战略、人才强国战略、创新驱动发展战略，建设教育强国、科技强国、人才强国，需要一大批像杨士莪同志这样的好党员、好干部、好学者、好老师。各地各单位要更加紧密地团结在以习近平同志为核心的党中央周围，坚持以习近平新时代中国特色社会主义思想为指导，全面贯彻落实党的二十大和二十届二中、三中全会精神，深刻领悟“两个确立”的决定性意义，增强“四个意识”、坚定“四个自信”、做到“两个维护”，牢固树立和自觉践行科技是第一生产力、人才是第一资源、创新是第一动力的理念，教育引导广大干部职工深入学习宣传杨士莪同志先进典型事迹，传承弘扬优良传统，践行科学家精神、教育家精神和工匠精神，坚定信心、自立自强、勇毅前行，为夯实中国式现代化的基础性、战略性支撑，全面推进强国建设、民族复兴伟业不断作出新贡献。</w:t>
      </w:r>
    </w:p>
    <w:p w14:paraId="02E36CAB">
      <w:pPr>
        <w:autoSpaceDE/>
        <w:autoSpaceDN/>
        <w:spacing w:before="0" w:after="0" w:line="500" w:lineRule="exact"/>
        <w:ind w:left="0" w:right="0"/>
        <w:jc w:val="both"/>
        <w:rPr>
          <w:rFonts w:hint="eastAsia" w:ascii="Times New Roman" w:hAnsi="Times New Roman" w:eastAsia="仿宋_GB2312" w:cs="Times New Roman"/>
          <w:kern w:val="2"/>
          <w:sz w:val="28"/>
          <w:szCs w:val="32"/>
        </w:rPr>
      </w:pPr>
    </w:p>
    <w:p w14:paraId="3CDD7F8B">
      <w:pPr>
        <w:pStyle w:val="2"/>
        <w:wordWrap/>
        <w:spacing w:before="166"/>
        <w:jc w:val="left"/>
        <w:rPr>
          <w:rFonts w:hint="default" w:ascii="仿宋" w:hAnsi="仿宋" w:eastAsia="仿宋" w:cs="Times New Roman"/>
          <w:kern w:val="2"/>
          <w:sz w:val="31"/>
          <w:szCs w:val="31"/>
          <w:lang w:val="en-US" w:eastAsia="zh-CN" w:bidi="ar-SA"/>
        </w:rPr>
      </w:pPr>
    </w:p>
    <w:sectPr>
      <w:type w:val="continuous"/>
      <w:pgSz w:w="11910" w:h="16840"/>
      <w:pgMar w:top="1440" w:right="1417" w:bottom="1440"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华康行楷体 W5">
    <w:panose1 w:val="03000509000000000000"/>
    <w:charset w:val="86"/>
    <w:family w:val="auto"/>
    <w:pitch w:val="default"/>
    <w:sig w:usb0="A00002BF" w:usb1="3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等线">
    <w:panose1 w:val="02010600030101010101"/>
    <w:charset w:val="86"/>
    <w:family w:val="auto"/>
    <w:pitch w:val="default"/>
    <w:sig w:usb0="A00002BF" w:usb1="38CF7CFA" w:usb2="00000016" w:usb3="00000000" w:csb0="0004000F" w:csb1="00000000"/>
  </w:font>
  <w:font w:name="经典综艺体简">
    <w:panose1 w:val="02010609000101010101"/>
    <w:charset w:val="86"/>
    <w:family w:val="auto"/>
    <w:pitch w:val="default"/>
    <w:sig w:usb0="A1007AEF" w:usb1="F9DF7CFB" w:usb2="0000001E" w:usb3="00000000" w:csb0="20040000" w:csb1="00000000"/>
  </w:font>
  <w:font w:name="Malgun Gothic">
    <w:panose1 w:val="020B0503020000020004"/>
    <w:charset w:val="81"/>
    <w:family w:val="auto"/>
    <w:pitch w:val="default"/>
    <w:sig w:usb0="9000002F" w:usb1="29D77CFB" w:usb2="00000012" w:usb3="00000000" w:csb0="00080001" w:csb1="00000000"/>
  </w:font>
  <w:font w:name="标准粗黑">
    <w:panose1 w:val="02000503000000000000"/>
    <w:charset w:val="86"/>
    <w:family w:val="auto"/>
    <w:pitch w:val="default"/>
    <w:sig w:usb0="8000002F" w:usb1="084164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147481029"/>
      <w:docPartObj>
        <w:docPartGallery w:val="autotext"/>
      </w:docPartObj>
    </w:sdtPr>
    <w:sdtEndPr>
      <w:rPr>
        <w:rFonts w:ascii="宋体" w:hAnsi="宋体" w:eastAsia="宋体" w:cs="Times New Roman"/>
        <w:kern w:val="2"/>
        <w:sz w:val="28"/>
        <w:szCs w:val="28"/>
        <w:lang w:val="en-US" w:eastAsia="zh-CN" w:bidi="ar-SA"/>
      </w:rPr>
    </w:sdtEndPr>
    <w:sdtContent>
      <w:p w14:paraId="31CAD124">
        <w:pPr>
          <w:widowControl w:val="0"/>
          <w:tabs>
            <w:tab w:val="center" w:pos="4153"/>
            <w:tab w:val="right" w:pos="8306"/>
          </w:tabs>
          <w:snapToGrid w:val="0"/>
          <w:jc w:val="center"/>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24</w:t>
        </w:r>
        <w:r>
          <w:rPr>
            <w:rFonts w:ascii="宋体" w:hAnsi="宋体" w:eastAsia="宋体" w:cs="Times New Roman"/>
            <w:kern w:val="2"/>
            <w:sz w:val="28"/>
            <w:szCs w:val="28"/>
            <w:lang w:val="en-US" w:eastAsia="zh-CN" w:bidi="ar-SA"/>
          </w:rPr>
          <w:fldChar w:fldCharType="end"/>
        </w:r>
      </w:p>
    </w:sdtContent>
  </w:sdt>
  <w:p w14:paraId="3B3991BC">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mU3YmQ1MGJkMTgzMGFhYjJjNDkzYmUyNDc0OTNhYzEifQ=="/>
  </w:docVars>
  <w:rsids>
    <w:rsidRoot w:val="00000000"/>
    <w:rsid w:val="10F74E33"/>
    <w:rsid w:val="262138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30"/>
    </w:pPr>
    <w:rPr>
      <w:rFonts w:ascii="宋体" w:hAnsi="宋体" w:eastAsia="宋体" w:cs="宋体"/>
      <w:sz w:val="32"/>
      <w:szCs w:val="32"/>
      <w:lang w:val="en-US" w:eastAsia="zh-CN" w:bidi="ar-SA"/>
    </w:rPr>
  </w:style>
  <w:style w:type="paragraph" w:styleId="3">
    <w:name w:val="Title"/>
    <w:basedOn w:val="1"/>
    <w:qFormat/>
    <w:uiPriority w:val="1"/>
    <w:pPr>
      <w:spacing w:before="12"/>
      <w:jc w:val="center"/>
    </w:pPr>
    <w:rPr>
      <w:rFonts w:ascii="宋体" w:hAnsi="宋体" w:eastAsia="宋体" w:cs="宋体"/>
      <w:sz w:val="44"/>
      <w:szCs w:val="44"/>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pPr>
      <w:ind w:left="107"/>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503</Words>
  <Characters>593</Characters>
  <TotalTime>2</TotalTime>
  <ScaleCrop>false</ScaleCrop>
  <LinksUpToDate>false</LinksUpToDate>
  <CharactersWithSpaces>618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2024-11-12T02:37:00Z</dcterms:created>
  <dc:creator>叶 璐</dc:creator>
  <cp:lastModifiedBy>斗志</cp:lastModifiedBy>
  <dcterms:modified xsi:type="dcterms:W3CDTF">2024-11-12T02:58:32Z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WPS 文字</vt:lpwstr>
  </property>
  <property fmtid="{D5CDD505-2E9C-101B-9397-08002B2CF9AE}" pid="4" name="LastSaved">
    <vt:filetime>2024-11-12T00:00:00Z</vt:filetime>
  </property>
  <property fmtid="{D5CDD505-2E9C-101B-9397-08002B2CF9AE}" pid="5" name="SourceModified">
    <vt:lpwstr>D:20241104103154+10'31'</vt:lpwstr>
  </property>
  <property fmtid="{D5CDD505-2E9C-101B-9397-08002B2CF9AE}" pid="6" name="KSOProductBuildVer">
    <vt:lpwstr>2052-12.1.0.18608</vt:lpwstr>
  </property>
  <property fmtid="{D5CDD505-2E9C-101B-9397-08002B2CF9AE}" pid="7" name="ICV">
    <vt:lpwstr>0CCCCF0D71954C3599A9F688ECD5185F_12</vt:lpwstr>
  </property>
</Properties>
</file>